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Instituto Tecnológico Superior del Sur de Guanajuato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Programa Operativo Anual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  <w:r w:rsidRPr="0061141F">
        <w:rPr>
          <w:rFonts w:asciiTheme="majorHAnsi" w:hAnsiTheme="majorHAnsi"/>
          <w:b/>
          <w:sz w:val="36"/>
          <w:lang w:val="es-ES"/>
        </w:rPr>
        <w:t>2022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555EE2" w:rsidP="0061141F">
      <w:pPr>
        <w:jc w:val="center"/>
        <w:rPr>
          <w:rFonts w:asciiTheme="majorHAnsi" w:hAnsiTheme="majorHAnsi"/>
          <w:b/>
          <w:sz w:val="36"/>
          <w:lang w:val="es-ES"/>
        </w:rPr>
      </w:pPr>
      <w:r>
        <w:rPr>
          <w:rFonts w:asciiTheme="majorHAnsi" w:hAnsiTheme="majorHAnsi"/>
          <w:b/>
          <w:sz w:val="36"/>
          <w:lang w:val="es-ES"/>
        </w:rPr>
        <w:t>Dirección de Planeación y Vinculación</w:t>
      </w: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  <w:sectPr w:rsidR="0061141F" w:rsidRPr="0061141F" w:rsidSect="00FD5ACE">
          <w:headerReference w:type="default" r:id="rId8"/>
          <w:footerReference w:type="default" r:id="rId9"/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Introducción: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Instituto Tecnológico Superior del Sur de Guanajuato, es un Organismo Público Descentralizado del Gobierno del Estado de Guanajuato y tiene por objeto principalmente: Contribuir a través del proceso educativo, a mejorar las condiciones de vida de los guanajuatenses; Ampliar las posibilidades de la Educación Superior Tecnológica a todos los habitantes del Estado; Desarrollar programas educativos de buena calidad, para la formación tecnológica, así como las estrategias que le permitan atender las necesidades de la Entidad y contribuyan a garantizar el acceso a la población al servicio educativo; formar profesionales e investigadores en los diversos campos de la ciencia y la tecnología en las áreas industrial y de servicios, de acuerdo con los requerimientos del desarrollo, político y social del Estado y del País; Fomentar e impulsar la vinculación, entre los diferentes niveles y subsistemas educativos a través de órganos colegiados que permitan coordinar esfuerzos en materia educativa, de difusión cultural, deportiva y recreativa que contribuya al desarrollo integral de los educandos en un marco de fomento a los valores universales; entre otros </w:t>
      </w:r>
    </w:p>
    <w:p w:rsidR="005E2895" w:rsidRDefault="005E2895" w:rsidP="004D239E">
      <w:pPr>
        <w:jc w:val="both"/>
        <w:rPr>
          <w:rFonts w:asciiTheme="majorHAnsi" w:hAnsiTheme="majorHAnsi"/>
          <w:lang w:val="es-ES"/>
        </w:rPr>
      </w:pPr>
    </w:p>
    <w:p w:rsidR="0061141F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El presente documento se encuentra integrado por las siguientes secciones: objetivo del programa; estrategias específicas para el cumplimiento de las metas; indicadores y metas; programa de actividades; y consideraciones finales. </w:t>
      </w:r>
    </w:p>
    <w:p w:rsidR="0061141F" w:rsidRDefault="0061141F" w:rsidP="0061141F">
      <w:pPr>
        <w:rPr>
          <w:rFonts w:asciiTheme="majorHAnsi" w:hAnsiTheme="majorHAnsi"/>
          <w:lang w:val="es-ES"/>
        </w:rPr>
      </w:pPr>
    </w:p>
    <w:p w:rsidR="004D239E" w:rsidRPr="00E3556E" w:rsidRDefault="004D239E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Los indicadores, metas y actividades, tienen el propósito de cumplir con los establecido en el Programa de Desarrollo Institucional PDI-2019-2024 el cual fue aprobado por el H. Consejo Directivo del Instituto Tecnológico Superior del Sur de Guanajuato en noviembre de 2021, y el Plan de Trabajo Anual</w:t>
      </w:r>
      <w:r w:rsidR="005E2895">
        <w:rPr>
          <w:rFonts w:asciiTheme="majorHAnsi" w:hAnsiTheme="majorHAnsi"/>
          <w:lang w:val="es-ES"/>
        </w:rPr>
        <w:t xml:space="preserve"> correspondiente al Ciclo Escolar 2021-2022</w:t>
      </w:r>
      <w:r>
        <w:rPr>
          <w:rFonts w:asciiTheme="majorHAnsi" w:hAnsiTheme="majorHAnsi"/>
          <w:lang w:val="es-ES"/>
        </w:rPr>
        <w:t>.</w:t>
      </w:r>
    </w:p>
    <w:p w:rsidR="0061141F" w:rsidRPr="00E3556E" w:rsidRDefault="0061141F" w:rsidP="0061141F">
      <w:pPr>
        <w:rPr>
          <w:rFonts w:asciiTheme="majorHAnsi" w:hAnsiTheme="majorHAnsi"/>
          <w:lang w:val="es-ES"/>
        </w:rPr>
      </w:pPr>
    </w:p>
    <w:p w:rsidR="005E2895" w:rsidRDefault="005E2895" w:rsidP="0061141F">
      <w:pPr>
        <w:rPr>
          <w:rFonts w:asciiTheme="majorHAnsi" w:hAnsiTheme="majorHAnsi"/>
          <w:b/>
          <w:sz w:val="28"/>
          <w:lang w:val="es-ES"/>
        </w:rPr>
        <w:sectPr w:rsidR="005E2895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61141F" w:rsidP="0061141F">
      <w:pPr>
        <w:rPr>
          <w:rFonts w:asciiTheme="majorHAnsi" w:hAnsiTheme="majorHAnsi"/>
          <w:b/>
          <w:sz w:val="28"/>
          <w:lang w:val="es-ES"/>
        </w:rPr>
      </w:pPr>
      <w:r w:rsidRPr="00E3556E">
        <w:rPr>
          <w:rFonts w:asciiTheme="majorHAnsi" w:hAnsiTheme="majorHAnsi"/>
          <w:b/>
          <w:sz w:val="28"/>
          <w:lang w:val="es-ES"/>
        </w:rPr>
        <w:lastRenderedPageBreak/>
        <w:t>Objetivo: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61141F" w:rsidRDefault="00545E4F" w:rsidP="004D239E">
      <w:pPr>
        <w:jc w:val="both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>Programar las actividades y los recursos financieros necesarios para el cumplimiento de las metas del Plan de Trabajo Anual (PTA), con</w:t>
      </w:r>
      <w:r w:rsidR="004D239E">
        <w:rPr>
          <w:rFonts w:asciiTheme="majorHAnsi" w:hAnsiTheme="majorHAnsi"/>
          <w:lang w:val="es-ES"/>
        </w:rPr>
        <w:t xml:space="preserve"> base en el cumplimiento de las líneas de acción y desarrollo de los proyectos definidos en el Programa de Desarrollo Institucional</w:t>
      </w:r>
      <w:r w:rsidR="00313843">
        <w:rPr>
          <w:rFonts w:asciiTheme="majorHAnsi" w:hAnsiTheme="majorHAnsi"/>
          <w:lang w:val="es-ES"/>
        </w:rPr>
        <w:t xml:space="preserve"> PDI 2019-2024</w:t>
      </w:r>
      <w:r w:rsidR="004D239E">
        <w:rPr>
          <w:rFonts w:asciiTheme="majorHAnsi" w:hAnsiTheme="majorHAnsi"/>
          <w:lang w:val="es-ES"/>
        </w:rPr>
        <w:t>, considerando para tal efecto, las fuentes de financiamiento federal, estatal e ingresos propios.</w:t>
      </w:r>
      <w:r>
        <w:rPr>
          <w:rFonts w:asciiTheme="majorHAnsi" w:hAnsiTheme="majorHAnsi"/>
          <w:lang w:val="es-ES"/>
        </w:rPr>
        <w:t xml:space="preserve">  </w:t>
      </w: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545E4F" w:rsidRDefault="00545E4F" w:rsidP="0061141F">
      <w:pPr>
        <w:rPr>
          <w:rFonts w:asciiTheme="majorHAnsi" w:hAnsiTheme="majorHAnsi"/>
          <w:lang w:val="es-ES"/>
        </w:rPr>
      </w:pPr>
    </w:p>
    <w:p w:rsidR="00C26D28" w:rsidRDefault="00545E4F" w:rsidP="0061141F">
      <w:pPr>
        <w:rPr>
          <w:rFonts w:asciiTheme="majorHAnsi" w:hAnsiTheme="majorHAnsi"/>
          <w:b/>
          <w:sz w:val="28"/>
          <w:lang w:val="es-ES"/>
        </w:rPr>
      </w:pPr>
      <w:r w:rsidRPr="00545E4F">
        <w:rPr>
          <w:rFonts w:asciiTheme="majorHAnsi" w:hAnsiTheme="majorHAnsi"/>
          <w:b/>
          <w:sz w:val="28"/>
          <w:lang w:val="es-ES"/>
        </w:rPr>
        <w:t>Estrategias</w:t>
      </w:r>
      <w:r w:rsidR="004D239E">
        <w:rPr>
          <w:rFonts w:asciiTheme="majorHAnsi" w:hAnsiTheme="majorHAnsi"/>
          <w:b/>
          <w:sz w:val="28"/>
          <w:lang w:val="es-ES"/>
        </w:rPr>
        <w:t xml:space="preserve"> específicas para el cumplimiento de las metas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390504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Tener como herramienta principal el</w:t>
      </w:r>
      <w:r w:rsidR="00390504">
        <w:rPr>
          <w:rFonts w:asciiTheme="majorHAnsi" w:hAnsiTheme="majorHAnsi"/>
          <w:sz w:val="28"/>
          <w:lang w:val="es-ES"/>
        </w:rPr>
        <w:t xml:space="preserve"> Sistema de Gestión Integral.</w:t>
      </w:r>
    </w:p>
    <w:p w:rsidR="00545E4F" w:rsidRDefault="00313843" w:rsidP="00545E4F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>Considerar la normativa aplicable y disposiciones administrativas emitidas por la Secretaría de Finanzas, Inversión y Administración</w:t>
      </w:r>
      <w:r w:rsidR="00390504">
        <w:rPr>
          <w:rFonts w:asciiTheme="majorHAnsi" w:hAnsiTheme="majorHAnsi"/>
          <w:sz w:val="28"/>
          <w:lang w:val="es-ES"/>
        </w:rPr>
        <w:t>.</w:t>
      </w:r>
    </w:p>
    <w:p w:rsidR="00555EE2" w:rsidRDefault="00555EE2" w:rsidP="00555EE2">
      <w:pPr>
        <w:pStyle w:val="Prrafodelista"/>
        <w:numPr>
          <w:ilvl w:val="0"/>
          <w:numId w:val="7"/>
        </w:numPr>
        <w:rPr>
          <w:rFonts w:asciiTheme="majorHAnsi" w:hAnsiTheme="majorHAnsi"/>
          <w:sz w:val="28"/>
          <w:lang w:val="es-ES"/>
        </w:rPr>
      </w:pPr>
      <w:r>
        <w:rPr>
          <w:rFonts w:asciiTheme="majorHAnsi" w:hAnsiTheme="majorHAnsi"/>
          <w:sz w:val="28"/>
          <w:lang w:val="es-ES"/>
        </w:rPr>
        <w:t xml:space="preserve">Considerar el presupuesto autorizado para el presente ejercicio y revisar economías de las actividades y acciones realizadas para dar suficiencia a aquellas que así lo requieran. </w:t>
      </w:r>
    </w:p>
    <w:p w:rsidR="00545E4F" w:rsidRDefault="00545E4F" w:rsidP="0061141F">
      <w:pPr>
        <w:rPr>
          <w:rFonts w:asciiTheme="majorHAnsi" w:hAnsiTheme="majorHAnsi"/>
          <w:b/>
          <w:sz w:val="28"/>
          <w:lang w:val="es-ES"/>
        </w:rPr>
      </w:pPr>
    </w:p>
    <w:p w:rsidR="00545E4F" w:rsidRPr="00545E4F" w:rsidRDefault="00545E4F" w:rsidP="00545E4F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8"/>
          <w:lang w:val="es-ES"/>
        </w:rPr>
        <w:sectPr w:rsidR="00545E4F" w:rsidRPr="00545E4F" w:rsidSect="00FD5ACE">
          <w:pgSz w:w="12242" w:h="15842" w:code="1"/>
          <w:pgMar w:top="238" w:right="1134" w:bottom="1134" w:left="1418" w:header="3231" w:footer="794" w:gutter="0"/>
          <w:cols w:space="708"/>
          <w:docGrid w:linePitch="360"/>
        </w:sectPr>
      </w:pPr>
    </w:p>
    <w:p w:rsidR="0061141F" w:rsidRPr="00E3556E" w:rsidRDefault="004D239E" w:rsidP="0061141F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lastRenderedPageBreak/>
        <w:t>Indicadores y m</w:t>
      </w:r>
      <w:r w:rsidR="0061141F" w:rsidRPr="00E3556E">
        <w:rPr>
          <w:rFonts w:asciiTheme="majorHAnsi" w:hAnsiTheme="majorHAnsi"/>
          <w:b/>
          <w:sz w:val="28"/>
          <w:lang w:val="es-ES"/>
        </w:rPr>
        <w:t>etas:</w:t>
      </w:r>
      <w:r>
        <w:rPr>
          <w:rFonts w:asciiTheme="majorHAnsi" w:hAnsiTheme="majorHAnsi"/>
          <w:b/>
          <w:sz w:val="28"/>
          <w:lang w:val="es-ES"/>
        </w:rPr>
        <w:t xml:space="preserve"> </w:t>
      </w:r>
    </w:p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2601"/>
        <w:gridCol w:w="92"/>
        <w:gridCol w:w="2268"/>
        <w:gridCol w:w="2835"/>
        <w:gridCol w:w="3119"/>
        <w:gridCol w:w="1701"/>
      </w:tblGrid>
      <w:tr w:rsidR="00C26D28" w:rsidRPr="00E3556E" w:rsidTr="00E928EC">
        <w:tc>
          <w:tcPr>
            <w:tcW w:w="1271" w:type="dxa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2601" w:type="dxa"/>
            <w:shd w:val="clear" w:color="auto" w:fill="D9D9D9" w:themeFill="background1" w:themeFillShade="D9"/>
          </w:tcPr>
          <w:p w:rsidR="00C26D28" w:rsidRPr="00E3556E" w:rsidRDefault="005123E7" w:rsidP="005123E7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Nombre del p</w:t>
            </w:r>
            <w:r w:rsidR="00C26D28" w:rsidRPr="00E3556E">
              <w:rPr>
                <w:rFonts w:asciiTheme="majorHAnsi" w:hAnsiTheme="majorHAnsi"/>
                <w:b/>
                <w:lang w:val="es-ES"/>
              </w:rPr>
              <w:t>royecto</w:t>
            </w:r>
          </w:p>
        </w:tc>
        <w:tc>
          <w:tcPr>
            <w:tcW w:w="2360" w:type="dxa"/>
            <w:gridSpan w:val="2"/>
            <w:shd w:val="clear" w:color="auto" w:fill="D9D9D9" w:themeFill="background1" w:themeFillShade="D9"/>
          </w:tcPr>
          <w:p w:rsidR="00C26D28" w:rsidRPr="00E3556E" w:rsidRDefault="00C26D28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Indicador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26D28" w:rsidRPr="00E3556E" w:rsidRDefault="00EF76AB" w:rsidP="00C26D28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Unidad de medida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Método de cálculo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26D28" w:rsidRPr="00E3556E" w:rsidRDefault="00EF76AB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Meta programada</w:t>
            </w:r>
          </w:p>
        </w:tc>
      </w:tr>
      <w:tr w:rsidR="00E928EC" w:rsidRPr="00E3556E" w:rsidTr="00E928EC">
        <w:tc>
          <w:tcPr>
            <w:tcW w:w="3872" w:type="dxa"/>
            <w:gridSpan w:val="2"/>
            <w:shd w:val="clear" w:color="auto" w:fill="C4BC96" w:themeFill="background2" w:themeFillShade="BF"/>
          </w:tcPr>
          <w:p w:rsidR="00E928EC" w:rsidRPr="00E928EC" w:rsidRDefault="00E928EC" w:rsidP="00E928EC">
            <w:pPr>
              <w:rPr>
                <w:rFonts w:asciiTheme="majorHAnsi" w:hAnsiTheme="majorHAnsi"/>
                <w:sz w:val="22"/>
                <w:szCs w:val="22"/>
              </w:rPr>
            </w:pPr>
            <w:r w:rsidRPr="00E928EC">
              <w:rPr>
                <w:rFonts w:asciiTheme="majorHAnsi" w:hAnsiTheme="majorHAnsi"/>
                <w:sz w:val="22"/>
                <w:szCs w:val="22"/>
              </w:rPr>
              <w:t xml:space="preserve">Subdirección de </w:t>
            </w:r>
            <w:r>
              <w:rPr>
                <w:rFonts w:asciiTheme="majorHAnsi" w:hAnsiTheme="majorHAnsi"/>
                <w:sz w:val="22"/>
                <w:szCs w:val="22"/>
              </w:rPr>
              <w:t>Vinculación</w:t>
            </w:r>
          </w:p>
        </w:tc>
        <w:tc>
          <w:tcPr>
            <w:tcW w:w="2360" w:type="dxa"/>
            <w:gridSpan w:val="2"/>
            <w:shd w:val="clear" w:color="auto" w:fill="C4BC96" w:themeFill="background2" w:themeFillShade="BF"/>
          </w:tcPr>
          <w:p w:rsidR="00E928EC" w:rsidRPr="00E928EC" w:rsidRDefault="00E928EC" w:rsidP="00E928E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:rsidR="00E928EC" w:rsidRPr="00E928EC" w:rsidRDefault="00E928EC" w:rsidP="00E928EC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C4BC96" w:themeFill="background2" w:themeFillShade="BF"/>
          </w:tcPr>
          <w:p w:rsidR="00E928EC" w:rsidRPr="00E928EC" w:rsidRDefault="00E928EC" w:rsidP="00E928EC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E928EC" w:rsidRPr="00E928EC" w:rsidRDefault="00E928EC" w:rsidP="00E928EC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Incremento del número de académicos y de estudiantes que adquieran la habilidad de comunicación en una segunda lengua.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Porcentaje de académicos y alumnos con habilidad de comunicación en una segunda lengua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Académico y alumno bilingüe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(Número de académicos y alumnos con habilidad de comunicación en una segunda lengua en el año N/Número total de académicos y alumnos en el año N)*100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0.85%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1.4.4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Movilidad de académicos y estudiantes a nivel nacional e internacional.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académicos y estudiantes que participan en programas de intercambio académico nacional e internacional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Académico y estudiante participante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académicos y estudiantes que participan en programas de intercambio académico nacional e internacional en el año N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1.4.5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Incremento de los planes y programas de estudio impartidos en una segunda lengua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Número de asignaturas, planes o programas académicos impartidos en una segunda lengua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Asignatura, plan o programa académico impartido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  <w:t>Número de asignaturas, planes o programas académicos impartidos en una segunda lengua en el año N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7</w:t>
            </w:r>
          </w:p>
        </w:tc>
      </w:tr>
      <w:tr w:rsidR="007E2FC2" w:rsidRPr="00022722" w:rsidTr="00E928EC">
        <w:trPr>
          <w:trHeight w:val="699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lastRenderedPageBreak/>
              <w:t>3.1.2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Atención de segundo nivel o de competición y exhibición.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Porcentaje de la matrícula de los semestres 2 a 12 que participa en alguno de los equipos y grupos representativos o en alguno de los clubes cívico, cultural y deportivo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Estudiante de los semestres 2 a 12 participante en alguno de los programas de segundo nivel de atención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(Total de estudiantes de los semestres 2 a 12 que participan en alguno de los grupos o equipos representativos del segundo nivel de atención en el año N/Matrícula total de estudiantes de los semestres 2 a 12 en el año N) *100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45%</w:t>
            </w:r>
          </w:p>
        </w:tc>
      </w:tr>
      <w:tr w:rsidR="007E2FC2" w:rsidRPr="00022722" w:rsidTr="00E928EC">
        <w:trPr>
          <w:trHeight w:val="2218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3.2.1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Fortalecimiento de la infraestructura física para el desarrollo de actividades de compromiso cívico, culturales-artísticas, deportivas y recreativas.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Porcentaje de instalaciones para el desarrollo de actividades cívicas, culturales y deportivas rehabilitados para su uso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Espacios rehabilitados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(Número espacios de infraestructura para el desarrollo de actividades cívicas, culturales, deportivas y recreativas renovadas en el año N/Total de espacios de infraestructura para el desarrollo de actividades cívicas, culturales, deportivas y recreativas existentes en el año N) *100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87.50%</w:t>
            </w:r>
          </w:p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7E2FC2" w:rsidRPr="00022722" w:rsidTr="00E928EC">
        <w:trPr>
          <w:trHeight w:val="2218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Incorporación y formación de promotores para el desarrollo de actividades del compromiso cívico, culturales-artísticas y deportivas.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Número de promotores culturales, cívicos y deportivos incorporados y/o formados 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Promotor cultural, cívico y/o deportivo incorporado y/o formado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(Número de promotores culturales, cívicos y deportivos incorporados y/o formados en el año N/ Número de promotores culturales, cívicos y deportivos programados para incorporación y/o formación en el año N) *100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100%</w:t>
            </w:r>
          </w:p>
        </w:tc>
      </w:tr>
      <w:tr w:rsidR="007E2FC2" w:rsidRPr="00022722" w:rsidTr="00E928EC">
        <w:trPr>
          <w:trHeight w:val="2218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lastRenderedPageBreak/>
              <w:t>3.2.3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Eventos intra y extra muros, de compromiso cívico, culturales, artísticos, deportivos y recreativos.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Número de eventos culturales, cívicos y deportivos realizados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Eventos realizados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 xml:space="preserve">Número de eventos culturales, cívicos, deportivos y recreativos realizados intra o extra muros en el año N/ Número de eventos culturales, cívicos, deportivos y recreativos programados para su realización intra o extra muros en el año N) *100  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100%</w:t>
            </w:r>
          </w:p>
        </w:tc>
      </w:tr>
      <w:tr w:rsidR="007E2FC2" w:rsidRPr="00022722" w:rsidTr="00E928EC">
        <w:trPr>
          <w:trHeight w:val="2218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Promoción del servicio social como actividad que incida en la atención de los problemas regionales y/o nacionales prioritarios.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estudiantes que prestan servicio social como actividad que incida en la atención de problemas regional, estatal o nacional prioritario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Estudiante de servicio social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prestantes de servicio social que de acuerdo a reglamento realizan actividades que inciden en la atención de los problemas regionales o nacionales prioritarios en el año N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250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Promoción del servicio social como actividad que incida en la atención de los problemas regionales y/o nacionales prioritarios.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comunidades beneficiadas por el servicio social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Comunidad beneficiada 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comunidades beneficiadas con prestantes de servicio social en el año N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14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Promoción del servicio social como actividad que incida en la atención de los problemas </w:t>
            </w: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>regionales y/o nacionales prioritarios.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lastRenderedPageBreak/>
              <w:t xml:space="preserve">Número de personas beneficiadas por los prestantes de servicio social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Persona beneficiada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personas beneficiadas por los prestantes de servicio social en el año N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500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lastRenderedPageBreak/>
              <w:t>4.3.1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Aprovechamiento interinstitucional de las instalaciones para las actividades científicas, tecnológicas y de innovación.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Número de convenios de uso compartido de instalaciones para las actividades científicas, tecnológicas y de innovación realizados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Convenio realizado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Número de convenios de uso compartido de instalaciones para las actividades científicas, tecnológicas y de innovación realizados en el año N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4.3.2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Participación, en su caso, en convocatorias del Programa de Laboratorios Nacionales del CONACyT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Participación en el Programa de Laboratorios Nacionales del CONACyT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Participación en programa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Participación en el Programa de Laboratorios Nacionales del CONACyT en el año N</w:t>
            </w:r>
          </w:p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Consolidación de los Consejos de Vinculación Institucional de los institutos tecnológicos.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Número de Consejo de Vinculación en operación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Consejo de Vinculación en operación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Número de Consejo de Vinculación en operación en el año N</w:t>
            </w:r>
          </w:p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5.1.6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Incremento en el número de estudiantes que participan en proyectos de vinculación con los sectores público, social y privado.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Número de estudiantes que participan en proyectos de vinculación con los sectores público, social y privado.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Estudiante participante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Número de estudiantes que participan en proyectos de vinculación con los sectores público, social y privado en el año N</w:t>
            </w: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170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5.3.1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Fortalecimiento de la incubación de empresas orientada al desarrollo tecnológico y la innovación.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Número de empresas incubadas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Empresa incubada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Número de empresas incubadas en el año N </w:t>
            </w:r>
          </w:p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lastRenderedPageBreak/>
              <w:t>5.3.1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Número de empresas de base tecnológica creadas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Empresa de base tecnológica creada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Número de empresas de base tecnológica creadas en el año N</w:t>
            </w:r>
          </w:p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5.3.2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Vinculación del TecNM Campus ITSUR a través de sus egresados.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Porcentaje de egresados incorporados al mercado laboral en los primeros doce meses de su egreso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Egresado incorporado al mercado laboral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(Número de egresados incorporados al mercado laboral en los primeros doce meses de su egreso/Total de egresados) *100 </w:t>
            </w:r>
          </w:p>
          <w:p w:rsidR="007E2FC2" w:rsidRPr="00022722" w:rsidRDefault="007E2FC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65%</w:t>
            </w:r>
          </w:p>
        </w:tc>
      </w:tr>
      <w:tr w:rsidR="007E2FC2" w:rsidRPr="00022722" w:rsidTr="00E928EC">
        <w:trPr>
          <w:trHeight w:val="2218"/>
        </w:trPr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ET.5.2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Promoción del servicio social en programas de inclusión e igualdad.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estudiantes de servicio social que participan en actividades de inclusión e igualdad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Estudiante de servicio social participante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Número de estudiantes de servicio social que participan en actividades de inclusión e igualdad en el año N 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120</w:t>
            </w:r>
          </w:p>
        </w:tc>
      </w:tr>
      <w:tr w:rsidR="007E2FC2" w:rsidRPr="00022722" w:rsidTr="00E928EC">
        <w:tc>
          <w:tcPr>
            <w:tcW w:w="127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6.2.2</w:t>
            </w:r>
          </w:p>
        </w:tc>
        <w:tc>
          <w:tcPr>
            <w:tcW w:w="2601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Implementación de una estrategia institucional de comunicación. </w:t>
            </w:r>
          </w:p>
        </w:tc>
        <w:tc>
          <w:tcPr>
            <w:tcW w:w="2360" w:type="dxa"/>
            <w:gridSpan w:val="2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Implementación de estrategia institucional de comunicación </w:t>
            </w:r>
          </w:p>
        </w:tc>
        <w:tc>
          <w:tcPr>
            <w:tcW w:w="2835" w:type="dxa"/>
          </w:tcPr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 xml:space="preserve">Estrategia implementada </w:t>
            </w:r>
          </w:p>
        </w:tc>
        <w:tc>
          <w:tcPr>
            <w:tcW w:w="3119" w:type="dxa"/>
          </w:tcPr>
          <w:p w:rsidR="007E2FC2" w:rsidRPr="0002272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s-MX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Número de estrategia institucional de comunicación en el año N implementada</w:t>
            </w:r>
          </w:p>
          <w:p w:rsidR="007E2FC2" w:rsidRPr="0002272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701" w:type="dxa"/>
          </w:tcPr>
          <w:p w:rsidR="007E2FC2" w:rsidRPr="0002272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</w:t>
            </w:r>
          </w:p>
        </w:tc>
      </w:tr>
      <w:tr w:rsidR="00E928EC" w:rsidRPr="00022722" w:rsidTr="00E928EC">
        <w:tc>
          <w:tcPr>
            <w:tcW w:w="3872" w:type="dxa"/>
            <w:gridSpan w:val="2"/>
            <w:shd w:val="clear" w:color="auto" w:fill="C4BC96" w:themeFill="background2" w:themeFillShade="BF"/>
          </w:tcPr>
          <w:p w:rsidR="00E928EC" w:rsidRPr="00022722" w:rsidRDefault="00E928EC" w:rsidP="004D182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Subdirección de Planeación</w:t>
            </w:r>
          </w:p>
        </w:tc>
        <w:tc>
          <w:tcPr>
            <w:tcW w:w="2360" w:type="dxa"/>
            <w:gridSpan w:val="2"/>
            <w:shd w:val="clear" w:color="auto" w:fill="C4BC96" w:themeFill="background2" w:themeFillShade="BF"/>
          </w:tcPr>
          <w:p w:rsidR="00E928EC" w:rsidRPr="00022722" w:rsidRDefault="00E928EC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C4BC96" w:themeFill="background2" w:themeFillShade="BF"/>
          </w:tcPr>
          <w:p w:rsidR="00E928EC" w:rsidRPr="00022722" w:rsidRDefault="00E928EC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C4BC96" w:themeFill="background2" w:themeFillShade="BF"/>
          </w:tcPr>
          <w:p w:rsidR="00E928EC" w:rsidRPr="00022722" w:rsidRDefault="00E928EC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C4BC96" w:themeFill="background2" w:themeFillShade="BF"/>
          </w:tcPr>
          <w:p w:rsidR="00E928EC" w:rsidRPr="00022722" w:rsidRDefault="00E928EC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E928EC" w:rsidRPr="00E42A47" w:rsidTr="00E928EC">
        <w:trPr>
          <w:trHeight w:val="169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 xml:space="preserve">ET.1.1 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Fomento entre la comunidad del TecNM Sur de Guanajuato, del cuidado del medio ambiente, la biodiversidad y el entorno sustentable.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Implementar campañas de concientización y promoción de la bioética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Campaña implementada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campañas de concientización y promoción de la bioética Implementada entre la comunidad del TecNM Sur de Guanajuato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47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2.2.1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Incremento de la participación de estudiantes en programas oficiales de becas.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estudiantes beneficiados con una beca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Estudiante becado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estudiantes beneficiados con beca en el año N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  <w:lang w:eastAsia="en-US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1150</w:t>
            </w:r>
          </w:p>
        </w:tc>
      </w:tr>
      <w:tr w:rsidR="00E928EC" w:rsidRPr="00E42A47" w:rsidTr="00E928EC">
        <w:trPr>
          <w:trHeight w:val="117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2.2.2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Incremento de la matrícula de licenciatura.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Tasa de variación de la matrícula de licenciatura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Estudiante de licenciatura inscrito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[(Matrícula de licenciatura en el año N/Matrícula de licenciatura en el año N-1)-1]*100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1.58%</w:t>
            </w:r>
          </w:p>
        </w:tc>
      </w:tr>
      <w:tr w:rsidR="00E928EC" w:rsidRPr="00E42A47" w:rsidTr="00E928EC">
        <w:trPr>
          <w:trHeight w:val="195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2.2.6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Mejora de la eficiencia terminal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Índice de eficiencia terminal de licenciatura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Estudiantes de licenciatura egresados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(Número de estudiantes de licenciatura egresados del ITSUR en el año N/Número de estudiantes de nuevo ingreso en el año N-5) *100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41.25%</w:t>
            </w:r>
          </w:p>
        </w:tc>
      </w:tr>
      <w:tr w:rsidR="00E928EC" w:rsidRPr="00E42A47" w:rsidTr="00E928EC">
        <w:trPr>
          <w:trHeight w:val="133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2.3.1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Incremento del número de programas educativos en modalidades no escolarizada -a distancia-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ta.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Programas académicos en modalidad no escolarizada autorizados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académico en modalidad no escolarizada autorizado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programas académicos autorizados en la modalidad no escolarizada en el año N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</w:tr>
      <w:tr w:rsidR="00E928EC" w:rsidRPr="00E42A47" w:rsidTr="00E928EC">
        <w:trPr>
          <w:trHeight w:val="183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2.3.2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Revisión y fortalecimiento de las unidades que ofrecen educación no escolarizada –a distancia-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ta.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Porcentaje de unidades de educación no escolarizada regularizadas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Unidad de educación no escolarizada regularizada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(Número de Unidades de Educación a Distancia, no escolarizadas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 regularizadas en el año N/Total de Unidades de Educación a Distancia, no escolarizadas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 en el año N)*100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0%</w:t>
            </w:r>
          </w:p>
        </w:tc>
      </w:tr>
      <w:tr w:rsidR="00E928EC" w:rsidRPr="00E42A47" w:rsidTr="00E928EC">
        <w:trPr>
          <w:trHeight w:val="177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2.3.3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Diseño y puesta en operación de nuevas unidades para ofrecer educación no escolarizada -a distancia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ta-.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Porcentaje de unidades de educación no escolarizada creadas bajo una metodología institucional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Unidad de educación no escolarizada creada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(Número de unidades de educación a distancia, no escolarizadas-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 creadas/ Total de unidades de educación a distancia no escolarizadas- y mi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ta solicitadas)*100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0%</w:t>
            </w:r>
          </w:p>
        </w:tc>
      </w:tr>
      <w:tr w:rsidR="00E928EC" w:rsidRPr="00E42A47" w:rsidTr="00E928EC">
        <w:trPr>
          <w:trHeight w:val="183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2.4.1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Fortalecimiento de talleres y laboratorios del ITSUR.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Porcentaje de talleres y laboratorios modernizados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Talleres y laboratorios modernizados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(Número talleres y laboratorios del ITSUR modernizado en el año N/Total de talleres y laboratorios del ITSUR en el año N) *100 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5%</w:t>
            </w:r>
          </w:p>
        </w:tc>
      </w:tr>
      <w:tr w:rsidR="00E928EC" w:rsidRPr="00E42A47" w:rsidTr="00E928EC">
        <w:trPr>
          <w:trHeight w:val="166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2.4.2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Ampliación de la capacidad instalada de aulas para docencia.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Cantidad de recursos para incrementar el número de aulas gestionados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Recursos gestionados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recursos gestionados para la construcción de nuevas aulas en el año N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</w:tr>
      <w:tr w:rsidR="00E928EC" w:rsidRPr="00E42A47" w:rsidTr="00E928EC">
        <w:trPr>
          <w:trHeight w:val="153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2.4.3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Regularización de la propiedad de terrenos e instalaciones del ITSUR.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predios regularizados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Predio regularizado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(Número de propiedades  de terreno regularizado en el año N del ITS/ Número total de terrenos del ITS no propios en el año N ) *100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0%</w:t>
            </w:r>
          </w:p>
        </w:tc>
      </w:tr>
      <w:tr w:rsidR="00E928EC" w:rsidRPr="00E42A47" w:rsidTr="00E928EC">
        <w:trPr>
          <w:trHeight w:val="205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ET.2.1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Promoción de la equidad y justicia social en el quehacer del TecNM Campus Sur de Guanajuato.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de equidad y justicia social implementado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implementado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programas de equidad y justicia social aplicado en el año N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</w:tr>
      <w:tr w:rsidR="00E928EC" w:rsidRPr="00E42A47" w:rsidTr="00E928EC">
        <w:trPr>
          <w:trHeight w:val="154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ET.2.2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Atención y ampliación de cobertura de grupos vulnerables y en regiones de alta marginación.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Porcentaje de espacios accesibles a personas con discapacidad y atención a grupos vulnerables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Espacios acondicionados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Números de espacios adaptados e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profeso en el año N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928EC" w:rsidRPr="00E42A47" w:rsidRDefault="00E928EC" w:rsidP="004D1822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E42A47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</w:tr>
      <w:tr w:rsidR="00E928EC" w:rsidRPr="00E42A47" w:rsidTr="00E928EC">
        <w:trPr>
          <w:trHeight w:val="273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 xml:space="preserve">ET.3.1 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Implementación de un programa para eliminar el lenguaje se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>ista y e</w:t>
            </w:r>
            <w:r>
              <w:rPr>
                <w:rFonts w:cstheme="minorHAnsi"/>
                <w:sz w:val="22"/>
                <w:szCs w:val="22"/>
                <w:lang w:val="es-MX"/>
              </w:rPr>
              <w:t>X</w:t>
            </w: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cluyente entre los estudiantes.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Implementar el código de conducta dirigido a la comunidad estudiantil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implementado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código de conducta dirigido a la comunidad estudiantil del TecNM Campus Sur de Guanajuato Implementado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235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ET.3.2 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Difusión del código de conducta del TecNM entre la comunidad tecnológica del Sur de Guanajuato.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Difundir el código de conducta del TecNM entre la comunidad tecnológica del Sur de Guanajuato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Código de conducta difundido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código de conducta dirigido a la comunidad estudiantil del TecNM Sur de Guanajuato Difundido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205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4.3.3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Promoción de la certificación de laboratorios con estándares nacionales e internacionales.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laboratorios certificados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Laboratorio certificado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laboratorios certificados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0</w:t>
            </w:r>
          </w:p>
        </w:tc>
      </w:tr>
      <w:tr w:rsidR="00E928EC" w:rsidRPr="00E42A47" w:rsidTr="00E928EC">
        <w:trPr>
          <w:trHeight w:val="121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6.1.3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Actualización de manuales de procedimientos que regulan la operatividad del TecNM Campus Sur de Guanajuato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Manual de procedimientos actualizado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Manual de procedimientos actualizado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Manual de procedimientos actualizado en el año N 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29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6.2.1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Mejora de los procesos de planeación democrática en el TecNM Campus Sur de Guanajuato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de trabajo elaborados de forma inclusiva y democrática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de trabajo elaborado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de trabajo elaborados de forma inclusiva y democrática en el ITSUR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86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6.2.3</w:t>
            </w:r>
          </w:p>
        </w:tc>
        <w:tc>
          <w:tcPr>
            <w:tcW w:w="2693" w:type="dxa"/>
            <w:gridSpan w:val="2"/>
            <w:vMerge w:val="restart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Consolidación de los sistemas de gestión de la calidad, ambiental, de energía, de igualdad Laboral y No discriminación, de salud y seguridad, y de responsabilidad social en el ITSUR.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Calidad obtenido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Calidad obtenido por el ITSUR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14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Ambiental obtenido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Ambiental obtenido por el ITSUR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14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la Seguridad y Salud obtenido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la Seguridad y Salud obtenido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14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energía obtenido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energía obtenido por el ITSUR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14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Certificado de gestión de la igualdad Laboral y no discriminación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Certificado de gestión de la igualdad de género y no discriminación obtenido por el ITSUR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47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693" w:type="dxa"/>
            <w:gridSpan w:val="2"/>
            <w:vMerge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Reconocimiento de Responsabilidad Social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Reconocimiento obtenido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Reconocimiento obtenido por el ITSUR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80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6.2.4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Modernización de los procesos administrativos, mediante la consolidación e integración de plataformas informáticas y sistemas de información.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sistemas de información creados, integrados y/o actualizados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Sistema de información creado, integrado y/o actualizado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sistemas de información creados, integrados y/o actualizados en el año N 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47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6.3.1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Gestión de mayor financiamiento subsidio Federal.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Incremento del presupuesto Subsidio Federal gestionado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Incremento presupuestal gestionado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gestiones para el incremento del presupuesto Subsidio Federal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2</w:t>
            </w:r>
          </w:p>
        </w:tc>
      </w:tr>
      <w:tr w:rsidR="00E928EC" w:rsidRPr="00E42A47" w:rsidTr="00E928EC">
        <w:trPr>
          <w:trHeight w:val="528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6.4.1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Fomento de la cultura de la ética, rectitud, honestidad, congruencia y transparencia.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Comités de Ética y Previsión de Conflictos de Interés en operación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Comité de Ética en operación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Número de Comités de Ética y Previsión de Conflictos de Interés en operación en el año N 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93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 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Informes de Autoevaluación y de Labores integrados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Informes de Autoevaluación y de Labores integrados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Número de Informes de Autoevaluación y de Labores presentados en la Comisión Interna de Administración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2400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lastRenderedPageBreak/>
              <w:t>ET.6.1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Disminuir de manera sustancial la generación de desechos mediante políticas de prevención, reducción, reciclaje y reutilización.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institucional de cero plásticos de un solo uso realizado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en operación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institucional de cero plásticos de un solo uso Operado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1</w:t>
            </w:r>
          </w:p>
        </w:tc>
      </w:tr>
      <w:tr w:rsidR="00E928EC" w:rsidRPr="00E42A47" w:rsidTr="00E928EC">
        <w:trPr>
          <w:trHeight w:val="1935"/>
        </w:trPr>
        <w:tc>
          <w:tcPr>
            <w:tcW w:w="1271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ET.6.2</w:t>
            </w:r>
          </w:p>
        </w:tc>
        <w:tc>
          <w:tcPr>
            <w:tcW w:w="2693" w:type="dxa"/>
            <w:gridSpan w:val="2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Ahorro y utilización de energías alternas y renovables, así como el cuidado del medio ambiente. </w:t>
            </w:r>
          </w:p>
        </w:tc>
        <w:tc>
          <w:tcPr>
            <w:tcW w:w="2268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de utilización de energías renovables y del cuidado del medio ambiente en operación </w:t>
            </w:r>
          </w:p>
        </w:tc>
        <w:tc>
          <w:tcPr>
            <w:tcW w:w="2835" w:type="dxa"/>
            <w:hideMark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 xml:space="preserve">Programa en operación </w:t>
            </w:r>
          </w:p>
        </w:tc>
        <w:tc>
          <w:tcPr>
            <w:tcW w:w="3119" w:type="dxa"/>
          </w:tcPr>
          <w:p w:rsidR="00E928EC" w:rsidRPr="00E42A47" w:rsidRDefault="00E928EC" w:rsidP="004D1822">
            <w:pPr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Programa de utilización de energías renovables y del cuidado del medio ambiente Operado en el año N</w:t>
            </w:r>
          </w:p>
        </w:tc>
        <w:tc>
          <w:tcPr>
            <w:tcW w:w="1701" w:type="dxa"/>
          </w:tcPr>
          <w:p w:rsidR="00E928EC" w:rsidRPr="00E42A47" w:rsidRDefault="00E928EC" w:rsidP="004D1822">
            <w:pPr>
              <w:jc w:val="center"/>
              <w:rPr>
                <w:rFonts w:cstheme="minorHAnsi"/>
                <w:sz w:val="22"/>
                <w:szCs w:val="22"/>
                <w:lang w:val="es-MX"/>
              </w:rPr>
            </w:pPr>
            <w:r w:rsidRPr="00E42A47">
              <w:rPr>
                <w:rFonts w:cstheme="minorHAnsi"/>
                <w:sz w:val="22"/>
                <w:szCs w:val="22"/>
                <w:lang w:val="es-MX"/>
              </w:rPr>
              <w:t>0</w:t>
            </w:r>
          </w:p>
        </w:tc>
      </w:tr>
    </w:tbl>
    <w:p w:rsidR="0061141F" w:rsidRPr="00E3556E" w:rsidRDefault="0061141F" w:rsidP="0061141F">
      <w:pPr>
        <w:rPr>
          <w:rFonts w:asciiTheme="majorHAnsi" w:hAnsiTheme="majorHAnsi"/>
          <w:b/>
          <w:lang w:val="es-ES"/>
        </w:rPr>
      </w:pPr>
    </w:p>
    <w:p w:rsidR="0061141F" w:rsidRDefault="004D239E" w:rsidP="00E3556E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t>Programa</w:t>
      </w:r>
      <w:r w:rsidR="00EF76AB">
        <w:rPr>
          <w:rFonts w:asciiTheme="majorHAnsi" w:hAnsiTheme="majorHAnsi"/>
          <w:b/>
          <w:sz w:val="28"/>
          <w:lang w:val="es-ES"/>
        </w:rPr>
        <w:t xml:space="preserve"> de a</w:t>
      </w:r>
      <w:r w:rsidR="00E3556E" w:rsidRPr="00E3556E">
        <w:rPr>
          <w:rFonts w:asciiTheme="majorHAnsi" w:hAnsiTheme="majorHAnsi"/>
          <w:b/>
          <w:sz w:val="28"/>
          <w:lang w:val="es-ES"/>
        </w:rPr>
        <w:t>ctividades:</w:t>
      </w:r>
    </w:p>
    <w:p w:rsidR="00E3556E" w:rsidRDefault="00E3556E" w:rsidP="00E3556E">
      <w:pPr>
        <w:rPr>
          <w:rFonts w:asciiTheme="majorHAnsi" w:hAnsiTheme="majorHAnsi"/>
          <w:b/>
          <w:sz w:val="36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2"/>
        <w:gridCol w:w="1293"/>
        <w:gridCol w:w="3014"/>
        <w:gridCol w:w="509"/>
        <w:gridCol w:w="460"/>
        <w:gridCol w:w="460"/>
        <w:gridCol w:w="460"/>
        <w:gridCol w:w="494"/>
        <w:gridCol w:w="533"/>
        <w:gridCol w:w="460"/>
        <w:gridCol w:w="533"/>
        <w:gridCol w:w="509"/>
        <w:gridCol w:w="460"/>
        <w:gridCol w:w="460"/>
        <w:gridCol w:w="460"/>
        <w:gridCol w:w="1619"/>
        <w:gridCol w:w="1604"/>
      </w:tblGrid>
      <w:tr w:rsidR="007E0659" w:rsidTr="00E928EC">
        <w:trPr>
          <w:cantSplit/>
          <w:trHeight w:val="640"/>
          <w:tblHeader/>
        </w:trPr>
        <w:tc>
          <w:tcPr>
            <w:tcW w:w="572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No.</w:t>
            </w:r>
          </w:p>
        </w:tc>
        <w:tc>
          <w:tcPr>
            <w:tcW w:w="1293" w:type="dxa"/>
            <w:shd w:val="clear" w:color="auto" w:fill="D9D9D9" w:themeFill="background1" w:themeFillShade="D9"/>
          </w:tcPr>
          <w:p w:rsidR="005123E7" w:rsidRPr="00E3556E" w:rsidRDefault="005123E7" w:rsidP="00EF76AB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3014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Descripción de la actividad</w:t>
            </w:r>
          </w:p>
        </w:tc>
        <w:tc>
          <w:tcPr>
            <w:tcW w:w="509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Ene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Feb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Mar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Abr</w:t>
            </w:r>
          </w:p>
        </w:tc>
        <w:tc>
          <w:tcPr>
            <w:tcW w:w="494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May</w:t>
            </w:r>
          </w:p>
        </w:tc>
        <w:tc>
          <w:tcPr>
            <w:tcW w:w="533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Jun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Jul</w:t>
            </w:r>
          </w:p>
        </w:tc>
        <w:tc>
          <w:tcPr>
            <w:tcW w:w="533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Ago</w:t>
            </w:r>
          </w:p>
        </w:tc>
        <w:tc>
          <w:tcPr>
            <w:tcW w:w="509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Sep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Oct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Nov</w:t>
            </w:r>
          </w:p>
        </w:tc>
        <w:tc>
          <w:tcPr>
            <w:tcW w:w="460" w:type="dxa"/>
            <w:shd w:val="clear" w:color="auto" w:fill="D9D9D9" w:themeFill="background1" w:themeFillShade="D9"/>
            <w:textDirection w:val="btLr"/>
            <w:vAlign w:val="center"/>
          </w:tcPr>
          <w:p w:rsidR="005123E7" w:rsidRPr="005123E7" w:rsidRDefault="005123E7" w:rsidP="005123E7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5123E7">
              <w:rPr>
                <w:rFonts w:asciiTheme="majorHAnsi" w:hAnsiTheme="majorHAnsi"/>
                <w:b/>
                <w:sz w:val="18"/>
                <w:lang w:val="es-ES"/>
              </w:rPr>
              <w:t>Dic</w:t>
            </w:r>
          </w:p>
        </w:tc>
        <w:tc>
          <w:tcPr>
            <w:tcW w:w="1619" w:type="dxa"/>
            <w:shd w:val="clear" w:color="auto" w:fill="D9D9D9" w:themeFill="background1" w:themeFillShade="D9"/>
          </w:tcPr>
          <w:p w:rsidR="005123E7" w:rsidRPr="00E3556E" w:rsidRDefault="005123E7" w:rsidP="005123E7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Responsable</w:t>
            </w:r>
          </w:p>
        </w:tc>
        <w:tc>
          <w:tcPr>
            <w:tcW w:w="1604" w:type="dxa"/>
            <w:shd w:val="clear" w:color="auto" w:fill="D9D9D9" w:themeFill="background1" w:themeFillShade="D9"/>
          </w:tcPr>
          <w:p w:rsidR="005123E7" w:rsidRPr="00E3556E" w:rsidRDefault="005123E7" w:rsidP="00E3556E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E3556E">
              <w:rPr>
                <w:rFonts w:asciiTheme="majorHAnsi" w:hAnsiTheme="majorHAnsi"/>
                <w:b/>
                <w:lang w:val="es-ES"/>
              </w:rPr>
              <w:t>Presupuesto</w:t>
            </w:r>
          </w:p>
        </w:tc>
      </w:tr>
      <w:tr w:rsidR="00112347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112347" w:rsidRPr="00D72F3B" w:rsidRDefault="00555EE2" w:rsidP="008E4F8B">
            <w:pP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b/>
                <w:color w:val="000000"/>
                <w:sz w:val="22"/>
                <w:szCs w:val="22"/>
              </w:rPr>
              <w:t>Dirección de Planeación y Vinculación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Solicitudes de recalendarización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Solicitudes de 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adecuaciones presupuestales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auditorías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$1,000.00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actividades prioritarias TecNM - Ver anexo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555EE2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555EE2">
              <w:rPr>
                <w:rFonts w:asciiTheme="majorHAnsi" w:hAnsiTheme="majorHAnsi" w:cs="Calibri"/>
                <w:color w:val="000000"/>
                <w:sz w:val="22"/>
                <w:szCs w:val="22"/>
              </w:rPr>
              <w:t>Estructura Educativa 2022 (Plataforma HJUDAS)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555EE2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8E4F8B" w:rsidRPr="00DF57C2" w:rsidRDefault="00555EE2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1439A6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7E2FC2" w:rsidTr="00E928EC">
        <w:tc>
          <w:tcPr>
            <w:tcW w:w="572" w:type="dxa"/>
          </w:tcPr>
          <w:p w:rsidR="007E2FC2" w:rsidRPr="00DF57C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7E2FC2" w:rsidRPr="00DF57C2" w:rsidRDefault="007E2FC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7E2FC2" w:rsidRPr="00DF57C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555EE2">
              <w:rPr>
                <w:rFonts w:asciiTheme="majorHAnsi" w:hAnsiTheme="majorHAnsi" w:cs="Calibri"/>
                <w:color w:val="000000"/>
                <w:sz w:val="22"/>
                <w:szCs w:val="22"/>
              </w:rPr>
              <w:t>Requerimientos para la Programación Detallada</w:t>
            </w:r>
          </w:p>
        </w:tc>
        <w:tc>
          <w:tcPr>
            <w:tcW w:w="509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7E2FC2" w:rsidRPr="00DF57C2" w:rsidRDefault="007E2FC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7E2FC2" w:rsidRPr="00DF57C2" w:rsidRDefault="007E2FC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7E2FC2" w:rsidRPr="00DF57C2" w:rsidRDefault="007E2FC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7E2FC2" w:rsidTr="00E928EC">
        <w:tc>
          <w:tcPr>
            <w:tcW w:w="572" w:type="dxa"/>
          </w:tcPr>
          <w:p w:rsidR="007E2FC2" w:rsidRPr="00DF57C2" w:rsidRDefault="007E2FC2" w:rsidP="007E2FC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7E2FC2" w:rsidRPr="00DF57C2" w:rsidRDefault="007E2FC2" w:rsidP="007E2FC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7E2FC2" w:rsidRPr="00DF57C2" w:rsidRDefault="007E2FC2" w:rsidP="007E2FC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Actualizar plataforma S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ARIDT</w:t>
            </w:r>
          </w:p>
        </w:tc>
        <w:tc>
          <w:tcPr>
            <w:tcW w:w="509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7E2FC2" w:rsidRPr="00DF57C2" w:rsidRDefault="007E2FC2" w:rsidP="007E2FC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7E2FC2" w:rsidRPr="00DF57C2" w:rsidRDefault="007E2FC2" w:rsidP="007E2FC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555EE2" w:rsidP="007E2FC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555EE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Actualización de información de la plataforma HJUDAS 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8E4F8B" w:rsidRPr="00DF57C2" w:rsidRDefault="00555EE2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55EE2" w:rsidTr="00E928EC">
        <w:tc>
          <w:tcPr>
            <w:tcW w:w="572" w:type="dxa"/>
          </w:tcPr>
          <w:p w:rsidR="00555EE2" w:rsidRPr="00DF57C2" w:rsidRDefault="00555EE2" w:rsidP="001439A6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55EE2" w:rsidRPr="00DF57C2" w:rsidRDefault="00555EE2" w:rsidP="001439A6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55EE2" w:rsidRPr="00DF57C2" w:rsidRDefault="00555EE2" w:rsidP="001439A6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555EE2">
              <w:rPr>
                <w:rFonts w:asciiTheme="majorHAnsi" w:hAnsiTheme="majorHAnsi" w:cs="Calibri"/>
                <w:color w:val="000000"/>
                <w:sz w:val="22"/>
                <w:szCs w:val="22"/>
              </w:rPr>
              <w:t>Actualización de información de la plataforma HJUDAS para el módulo 200 Juntas Directivas</w:t>
            </w:r>
          </w:p>
        </w:tc>
        <w:tc>
          <w:tcPr>
            <w:tcW w:w="509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555EE2" w:rsidRPr="00DF57C2" w:rsidRDefault="00555EE2" w:rsidP="001439A6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555EE2" w:rsidTr="00E928EC">
        <w:tc>
          <w:tcPr>
            <w:tcW w:w="572" w:type="dxa"/>
          </w:tcPr>
          <w:p w:rsidR="00555EE2" w:rsidRPr="00DF57C2" w:rsidRDefault="00555EE2" w:rsidP="001439A6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555EE2" w:rsidRPr="00DF57C2" w:rsidRDefault="00555EE2" w:rsidP="001439A6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555EE2" w:rsidRPr="00DF57C2" w:rsidRDefault="007E2FC2" w:rsidP="001439A6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informe de rendición de cuentas 2021 para el TecNM</w:t>
            </w:r>
          </w:p>
        </w:tc>
        <w:tc>
          <w:tcPr>
            <w:tcW w:w="509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7E2FC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555EE2" w:rsidRPr="00DF57C2" w:rsidRDefault="00555EE2" w:rsidP="001439A6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555EE2" w:rsidRPr="00DF57C2" w:rsidRDefault="00555EE2" w:rsidP="001439A6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/>
                <w:sz w:val="22"/>
                <w:szCs w:val="22"/>
                <w:lang w:val="es-ES"/>
              </w:rPr>
              <w:t>Actividades de rendición de cuentas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  H. Consejo Directivo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 equipo directivo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4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1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5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3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7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paquete fiscal 2023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Actualización de conceptos y tarifas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pronóstico de ingresos 2023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presupuesto de egresos 2023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ntegración del PAAAS 2023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234F2A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234F2A">
              <w:rPr>
                <w:rFonts w:asciiTheme="majorHAnsi" w:hAnsiTheme="majorHAnsi" w:cs="Calibri"/>
                <w:color w:val="000000"/>
                <w:sz w:val="22"/>
                <w:szCs w:val="22"/>
              </w:rPr>
              <w:t>Contrato Colectivo de Trabajo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Revisión Contrato Colectivo de Trabajo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$2,000.00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eguimiento al mobiliario para espacio de comida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$66,500.00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Programa Anual de Desarrollo Archivístico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Generación de informe final 2021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PADA 2022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al PADA 2022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8E4F8B" w:rsidRPr="00DF57C2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Programa de Mejora Regulatoria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al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PMR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$5,000.00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Informe trimestral del PMR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$500.00</w:t>
            </w:r>
          </w:p>
        </w:tc>
      </w:tr>
      <w:tr w:rsidR="008E4F8B" w:rsidRPr="00DF57C2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112347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112347">
              <w:rPr>
                <w:rFonts w:asciiTheme="majorHAnsi" w:hAnsiTheme="majorHAnsi" w:cs="Calibri"/>
                <w:color w:val="000000"/>
                <w:sz w:val="22"/>
                <w:szCs w:val="22"/>
              </w:rPr>
              <w:t>Programa de Control Interno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Reuniones de Comité de Control Interno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Desarrollo de Matriz de riesgos y programa de trabajo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1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del PTCI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1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Integración de evidencias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Informe de avance al H. Consejo Directivo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Informe a STRC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31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66597E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66597E">
              <w:rPr>
                <w:rFonts w:asciiTheme="majorHAnsi" w:hAnsiTheme="majorHAnsi"/>
                <w:sz w:val="22"/>
                <w:szCs w:val="22"/>
                <w:lang w:val="es-ES"/>
              </w:rPr>
              <w:t>Sistema de Gestión Integral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al Sistema de Gestión Integral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8E4F8B" w:rsidTr="00E928EC">
        <w:tc>
          <w:tcPr>
            <w:tcW w:w="13900" w:type="dxa"/>
            <w:gridSpan w:val="17"/>
            <w:shd w:val="clear" w:color="auto" w:fill="D6E3BC" w:themeFill="accent3" w:themeFillTint="66"/>
          </w:tcPr>
          <w:p w:rsidR="008E4F8B" w:rsidRPr="0066597E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Acreditación de carreras</w:t>
            </w:r>
          </w:p>
        </w:tc>
      </w:tr>
      <w:tr w:rsidR="008E4F8B" w:rsidTr="00E928EC">
        <w:tc>
          <w:tcPr>
            <w:tcW w:w="572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93" w:type="dxa"/>
          </w:tcPr>
          <w:p w:rsidR="008E4F8B" w:rsidRPr="00DF57C2" w:rsidRDefault="008E4F8B" w:rsidP="008E4F8B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01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Seguimiento a la acreditación de carreras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jc w:val="right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4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509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0" w:type="dxa"/>
            <w:vAlign w:val="bottom"/>
          </w:tcPr>
          <w:p w:rsidR="008E4F8B" w:rsidRPr="00DF57C2" w:rsidRDefault="008E4F8B" w:rsidP="008E4F8B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DF57C2">
              <w:rPr>
                <w:rFonts w:asciiTheme="majorHAnsi" w:hAnsiTheme="majorHAns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9" w:type="dxa"/>
          </w:tcPr>
          <w:p w:rsidR="008E4F8B" w:rsidRPr="00DF57C2" w:rsidRDefault="008E4F8B" w:rsidP="008E4F8B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GGG</w:t>
            </w:r>
          </w:p>
        </w:tc>
        <w:tc>
          <w:tcPr>
            <w:tcW w:w="1604" w:type="dxa"/>
          </w:tcPr>
          <w:p w:rsidR="008E4F8B" w:rsidRPr="00DF57C2" w:rsidRDefault="0058697E" w:rsidP="008E4F8B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</w:tbl>
    <w:p w:rsidR="004D1822" w:rsidRDefault="004D1822" w:rsidP="00E3556E">
      <w:pPr>
        <w:rPr>
          <w:rFonts w:asciiTheme="majorHAnsi" w:hAnsiTheme="majorHAnsi"/>
          <w:b/>
          <w:sz w:val="36"/>
          <w:lang w:val="es-ES"/>
        </w:rPr>
      </w:pPr>
    </w:p>
    <w:p w:rsidR="004D1822" w:rsidRDefault="004D1822" w:rsidP="00E3556E">
      <w:pPr>
        <w:rPr>
          <w:rFonts w:asciiTheme="majorHAnsi" w:hAnsiTheme="majorHAnsi"/>
          <w:b/>
          <w:sz w:val="36"/>
          <w:lang w:val="es-ES"/>
        </w:rPr>
      </w:pPr>
    </w:p>
    <w:tbl>
      <w:tblPr>
        <w:tblStyle w:val="Tablaconcuadrcula"/>
        <w:tblW w:w="13907" w:type="dxa"/>
        <w:tblLook w:val="04A0" w:firstRow="1" w:lastRow="0" w:firstColumn="1" w:lastColumn="0" w:noHBand="0" w:noVBand="1"/>
      </w:tblPr>
      <w:tblGrid>
        <w:gridCol w:w="564"/>
        <w:gridCol w:w="1284"/>
        <w:gridCol w:w="3118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1589"/>
        <w:gridCol w:w="1592"/>
      </w:tblGrid>
      <w:tr w:rsidR="004D1822" w:rsidRPr="00022722" w:rsidTr="00893D0C">
        <w:trPr>
          <w:cantSplit/>
          <w:trHeight w:val="640"/>
          <w:tblHeader/>
        </w:trPr>
        <w:tc>
          <w:tcPr>
            <w:tcW w:w="564" w:type="dxa"/>
            <w:shd w:val="clear" w:color="auto" w:fill="D9D9D9" w:themeFill="background1" w:themeFillShade="D9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No.</w:t>
            </w:r>
          </w:p>
        </w:tc>
        <w:tc>
          <w:tcPr>
            <w:tcW w:w="1284" w:type="dxa"/>
            <w:shd w:val="clear" w:color="auto" w:fill="D9D9D9" w:themeFill="background1" w:themeFillShade="D9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Número proyecto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893D0C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 xml:space="preserve">Descripción de la </w:t>
            </w:r>
          </w:p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actividad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Ene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Feb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Mar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Abr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May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Jun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Jul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Ago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Sep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Oct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Nov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4D1822" w:rsidRPr="00893D0C" w:rsidRDefault="004D1822" w:rsidP="004D1822">
            <w:pPr>
              <w:ind w:left="113" w:right="113"/>
              <w:rPr>
                <w:rFonts w:asciiTheme="majorHAnsi" w:hAnsiTheme="majorHAnsi"/>
                <w:b/>
                <w:sz w:val="18"/>
                <w:szCs w:val="22"/>
                <w:lang w:val="es-ES"/>
              </w:rPr>
            </w:pPr>
            <w:r w:rsidRPr="00893D0C">
              <w:rPr>
                <w:rFonts w:asciiTheme="majorHAnsi" w:hAnsiTheme="majorHAnsi"/>
                <w:b/>
                <w:sz w:val="18"/>
                <w:szCs w:val="22"/>
                <w:lang w:val="es-ES"/>
              </w:rPr>
              <w:t>Dic</w:t>
            </w:r>
          </w:p>
        </w:tc>
        <w:tc>
          <w:tcPr>
            <w:tcW w:w="1589" w:type="dxa"/>
            <w:shd w:val="clear" w:color="auto" w:fill="D9D9D9" w:themeFill="background1" w:themeFillShade="D9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Responsable</w:t>
            </w:r>
          </w:p>
        </w:tc>
        <w:tc>
          <w:tcPr>
            <w:tcW w:w="1592" w:type="dxa"/>
            <w:shd w:val="clear" w:color="auto" w:fill="D9D9D9" w:themeFill="background1" w:themeFillShade="D9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Presupuesto</w:t>
            </w:r>
          </w:p>
        </w:tc>
      </w:tr>
      <w:tr w:rsidR="004D1822" w:rsidRPr="00022722" w:rsidTr="00893D0C">
        <w:trPr>
          <w:cantSplit/>
          <w:trHeight w:val="242"/>
        </w:trPr>
        <w:tc>
          <w:tcPr>
            <w:tcW w:w="13907" w:type="dxa"/>
            <w:gridSpan w:val="17"/>
            <w:shd w:val="clear" w:color="auto" w:fill="C2D69B" w:themeFill="accent3" w:themeFillTint="99"/>
          </w:tcPr>
          <w:p w:rsidR="004D1822" w:rsidRPr="00022722" w:rsidRDefault="004D1822" w:rsidP="004D182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  <w:lang w:val="es-ES"/>
              </w:rPr>
              <w:t>Subdirección de Vinculación</w:t>
            </w:r>
          </w:p>
        </w:tc>
      </w:tr>
      <w:tr w:rsidR="004D1822" w:rsidRPr="00022722" w:rsidTr="00893D0C">
        <w:trPr>
          <w:cantSplit/>
          <w:trHeight w:val="1134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62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4.3.1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Elaborar convenios de colaboración para el uso compartido de instalaciones para las actividades científicas, tecnológicas y de innovación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15000</w:t>
            </w:r>
          </w:p>
        </w:tc>
      </w:tr>
      <w:tr w:rsidR="004D1822" w:rsidRPr="00022722" w:rsidTr="00893D0C">
        <w:trPr>
          <w:cantSplit/>
          <w:trHeight w:val="659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63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4.3.2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Atender las convocatorias publicadas por parte del Conacyt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rPr>
          <w:cantSplit/>
          <w:trHeight w:val="696"/>
        </w:trPr>
        <w:tc>
          <w:tcPr>
            <w:tcW w:w="564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  <w:lastRenderedPageBreak/>
              <w:t>67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Arial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Reactivar los trabajos del Consejo de Vinculación del ITSUR.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6000</w:t>
            </w:r>
          </w:p>
        </w:tc>
      </w:tr>
      <w:tr w:rsidR="004D1822" w:rsidRPr="00022722" w:rsidTr="00893D0C">
        <w:trPr>
          <w:cantSplit/>
          <w:trHeight w:val="1134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72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5.1.6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Promover la participación de estudiantes en proyectos de vinculación con los sectores público, social y privado.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10000</w:t>
            </w:r>
          </w:p>
        </w:tc>
      </w:tr>
      <w:tr w:rsidR="004D1822" w:rsidRPr="00022722" w:rsidTr="00893D0C">
        <w:trPr>
          <w:cantSplit/>
          <w:trHeight w:val="1134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76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5.3.1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Analizar el Modelo de Incubación de Empresas del TecNM y comenzar el diseño del modelo propio del ITSUR.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tbRl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rPr>
          <w:cantSplit/>
          <w:trHeight w:val="1134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77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5.3.1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Analizar el Modelo de Incubación de Empresas del TecNM y comenzar el diseño del modelo propio del ITSUR.</w:t>
            </w: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rPr>
          <w:cantSplit/>
          <w:trHeight w:val="1921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78</w:t>
            </w: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5.3.2</w:t>
            </w: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t>Vincular efectivamente al ITSUR con las y los egresados de manera que fortalezcan el desarrollo de nuestros/as estudiantes.</w:t>
            </w: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br/>
              <w:t xml:space="preserve"> </w:t>
            </w:r>
            <w:r w:rsidRPr="00022722">
              <w:rPr>
                <w:rFonts w:asciiTheme="majorHAnsi" w:hAnsiTheme="majorHAnsi" w:cs="Arial"/>
                <w:color w:val="000000"/>
                <w:sz w:val="22"/>
                <w:szCs w:val="22"/>
              </w:rPr>
              <w:br/>
              <w:t xml:space="preserve"> Establecer mecanismos institucionales para facilitar la incorporación de estudiantes y egresados al mercado laboral.</w:t>
            </w: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15000</w:t>
            </w:r>
          </w:p>
        </w:tc>
      </w:tr>
      <w:tr w:rsidR="004D1822" w:rsidRPr="00022722" w:rsidTr="00893D0C">
        <w:trPr>
          <w:cantSplit/>
          <w:trHeight w:val="1921"/>
        </w:trPr>
        <w:tc>
          <w:tcPr>
            <w:tcW w:w="56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284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auto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 w:cs="Arial"/>
                <w:color w:val="000000"/>
                <w:sz w:val="22"/>
                <w:szCs w:val="22"/>
              </w:rPr>
              <w:t>Feria de proyectos basados en  emprendedurismo, innovación o responsabilidad social.</w:t>
            </w:r>
          </w:p>
        </w:tc>
        <w:tc>
          <w:tcPr>
            <w:tcW w:w="480" w:type="dxa"/>
            <w:shd w:val="clear" w:color="auto" w:fill="auto"/>
            <w:textDirection w:val="btLr"/>
            <w:vAlign w:val="center"/>
          </w:tcPr>
          <w:p w:rsidR="004D1822" w:rsidRPr="00022722" w:rsidRDefault="004D1822" w:rsidP="004D1822">
            <w:pPr>
              <w:ind w:left="113" w:right="113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  <w:shd w:val="clear" w:color="auto" w:fill="auto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  <w:shd w:val="clear" w:color="auto" w:fill="auto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LEOO</w:t>
            </w:r>
          </w:p>
        </w:tc>
        <w:tc>
          <w:tcPr>
            <w:tcW w:w="1592" w:type="dxa"/>
            <w:shd w:val="clear" w:color="auto" w:fill="auto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15000</w:t>
            </w:r>
          </w:p>
        </w:tc>
      </w:tr>
      <w:tr w:rsidR="004D1822" w:rsidRPr="00022722" w:rsidTr="00893D0C">
        <w:tc>
          <w:tcPr>
            <w:tcW w:w="13907" w:type="dxa"/>
            <w:gridSpan w:val="17"/>
            <w:shd w:val="clear" w:color="auto" w:fill="D6E3BC" w:themeFill="accent3" w:themeFillTint="66"/>
          </w:tcPr>
          <w:p w:rsidR="004D1822" w:rsidRPr="00022722" w:rsidRDefault="004D1822" w:rsidP="004D182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</w:rPr>
              <w:t>Jefe de Vinculación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18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Generar oferta de cursos de idiomas para estudiantes y personal docente.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 xml:space="preserve">Generar oferta de cursos de idiomas para estudiantes externos 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$1.000,000.00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18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Realizar e implementar programación anual para la presentación de exámenes TOEFL.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$150,000.00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Realizar proceso de compra de libros de idiomas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$600,000.00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18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Emitir constancias de liberación de idioma inglés para estudiantes.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$ 1.000.00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18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spacing w:after="160" w:line="259" w:lineRule="auto"/>
              <w:rPr>
                <w:rFonts w:asciiTheme="majorHAnsi" w:hAnsiTheme="majorHAnsi" w:cs="Times New Roman"/>
                <w:sz w:val="22"/>
                <w:szCs w:val="22"/>
                <w:lang w:val="es-MX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MX"/>
              </w:rPr>
              <w:t xml:space="preserve">Curso para docentes curriculares que les cuente </w:t>
            </w:r>
            <w:r w:rsidRPr="00022722">
              <w:rPr>
                <w:rFonts w:asciiTheme="majorHAnsi" w:hAnsiTheme="majorHAnsi" w:cs="Times New Roman"/>
                <w:sz w:val="22"/>
                <w:szCs w:val="22"/>
                <w:lang w:val="es-MX"/>
              </w:rPr>
              <w:lastRenderedPageBreak/>
              <w:t xml:space="preserve">como 40hrs de capacitación, en periodo de vacaciones (2 semanas, 4 hrs diarias) 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$50.000.00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lastRenderedPageBreak/>
              <w:t>18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color w:val="000000"/>
                <w:sz w:val="22"/>
                <w:szCs w:val="22"/>
              </w:rPr>
              <w:t>1.4.3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spacing w:after="160" w:line="259" w:lineRule="auto"/>
              <w:rPr>
                <w:rFonts w:asciiTheme="majorHAnsi" w:hAnsiTheme="majorHAnsi" w:cs="Times New Roman"/>
                <w:sz w:val="22"/>
                <w:szCs w:val="22"/>
                <w:lang w:val="es-MX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MX"/>
              </w:rPr>
              <w:t>Cursos en línea para docentes.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$100.000.00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20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 xml:space="preserve">1.4.5 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spacing w:after="160" w:line="259" w:lineRule="auto"/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MX"/>
              </w:rPr>
              <w:t>Promover clases de materias curriculares en idioma inglés.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$20,00.00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>20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 w:cs="Times New Roman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ES"/>
              </w:rPr>
              <w:t xml:space="preserve">1.4.5 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spacing w:after="160" w:line="259" w:lineRule="auto"/>
              <w:rPr>
                <w:rFonts w:asciiTheme="majorHAnsi" w:hAnsiTheme="majorHAnsi" w:cs="Times New Roman"/>
                <w:sz w:val="22"/>
                <w:szCs w:val="22"/>
                <w:lang w:val="es-MX"/>
              </w:rPr>
            </w:pPr>
            <w:r w:rsidRPr="00022722">
              <w:rPr>
                <w:rFonts w:asciiTheme="majorHAnsi" w:hAnsiTheme="majorHAnsi" w:cs="Times New Roman"/>
                <w:sz w:val="22"/>
                <w:szCs w:val="22"/>
                <w:lang w:val="es-MX"/>
              </w:rPr>
              <w:t>Promover el desarrollo de proyectos en idioma inglés por parte de estudiantes cursando los últimos semestres de su carrera.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GPS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</w:tc>
      </w:tr>
      <w:tr w:rsidR="004D1822" w:rsidRPr="00022722" w:rsidTr="00893D0C">
        <w:tc>
          <w:tcPr>
            <w:tcW w:w="13907" w:type="dxa"/>
            <w:gridSpan w:val="17"/>
            <w:shd w:val="clear" w:color="auto" w:fill="C2D69B" w:themeFill="accent3" w:themeFillTint="99"/>
          </w:tcPr>
          <w:p w:rsidR="004D1822" w:rsidRPr="00022722" w:rsidRDefault="004D1822" w:rsidP="004D182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</w:rPr>
              <w:t>Departamento de Difusión y Concertación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86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6.2.2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Generación de Lineamiento Institucional de Comunicación.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18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GJJN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86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6.2.2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Revisión y validación al Lineamento de Comunicación.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25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ind w:left="709" w:hanging="709"/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GJJN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86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6.2.2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Implementación y Seguimiento al Lineamiento de Comunicación.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GJJN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Realizar e implementar Programa de Promoción de la oferta educativa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GJJN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0.00</w:t>
            </w:r>
          </w:p>
        </w:tc>
      </w:tr>
      <w:tr w:rsidR="004D1822" w:rsidRPr="00022722" w:rsidTr="00893D0C">
        <w:trPr>
          <w:cantSplit/>
          <w:trHeight w:val="297"/>
        </w:trPr>
        <w:tc>
          <w:tcPr>
            <w:tcW w:w="13907" w:type="dxa"/>
            <w:gridSpan w:val="17"/>
            <w:shd w:val="clear" w:color="auto" w:fill="C2D69B" w:themeFill="accent3" w:themeFillTint="99"/>
          </w:tcPr>
          <w:p w:rsidR="004D1822" w:rsidRPr="00022722" w:rsidRDefault="004D1822" w:rsidP="004D1822">
            <w:pPr>
              <w:rPr>
                <w:rFonts w:asciiTheme="majorHAnsi" w:hAnsiTheme="majorHAnsi"/>
                <w:b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</w:rPr>
              <w:t>Departamento de Servicio Social y Residencias Profesionales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19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1.4.4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Promoción de programas de movilidad que emita el instituto JuventudesGto.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LMLR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47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MX"/>
              </w:rPr>
              <w:t>Concientizar con visitas a las comunidades vulnerables de nuestra región por parte de los alumnos y alumnas de nuestro instituto para que estos conozcan de primera mano sobre las necesidades que deben de ser cubiertas dentro de estos lugares, y así generar un impacto positivo.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LMLR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48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MX"/>
              </w:rPr>
              <w:t>Concientizar con visitas a las comunidades vulnerables de nuestra región por parte de los alumnos y alumnas de nuestro instituto para que estos conozcan de primera mano sobre las necesidades que deben de ser cubiertas dentro de estos lugares, y así generar un impacto positivo.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LMLR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49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3.3.2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MX"/>
              </w:rPr>
              <w:t xml:space="preserve">Concientizar con visitas a las comunidades vulnerables de nuestra región por parte de los </w:t>
            </w:r>
            <w:r w:rsidRPr="00022722">
              <w:rPr>
                <w:rFonts w:asciiTheme="majorHAnsi" w:hAnsiTheme="majorHAnsi"/>
                <w:sz w:val="22"/>
                <w:szCs w:val="22"/>
                <w:lang w:val="es-MX"/>
              </w:rPr>
              <w:lastRenderedPageBreak/>
              <w:t>alumnos y alumnas de nuestro instituto para que estos conozcan de primera mano sobre las necesidades que deben de ser cubiertas dentro de estos lugares, y así generar un impacto positivo.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lastRenderedPageBreak/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LMLR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$0.00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80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ET.5.2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Dar a conocer programas municipales, estatales y/o federales que fomenten:</w:t>
            </w:r>
          </w:p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  <w:p w:rsidR="004D1822" w:rsidRPr="00022722" w:rsidRDefault="004D1822" w:rsidP="004D1822">
            <w:pPr>
              <w:pStyle w:val="Prrafodelista"/>
              <w:ind w:left="0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I.</w:t>
            </w: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ab/>
              <w:t>Igualdad de oportunidades.</w:t>
            </w:r>
          </w:p>
          <w:p w:rsidR="004D1822" w:rsidRPr="00022722" w:rsidRDefault="004D1822" w:rsidP="004D1822">
            <w:pPr>
              <w:pStyle w:val="Prrafodelista"/>
              <w:ind w:left="0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II.</w:t>
            </w: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ab/>
              <w:t>Convivencia de culturas diversas.</w:t>
            </w:r>
          </w:p>
          <w:p w:rsidR="004D1822" w:rsidRPr="00022722" w:rsidRDefault="004D1822" w:rsidP="004D1822">
            <w:pPr>
              <w:pStyle w:val="Prrafodelista"/>
              <w:ind w:left="0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III.</w:t>
            </w: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ab/>
              <w:t>Creación de buenas prácticas con proyección de crecimiento.</w:t>
            </w:r>
          </w:p>
          <w:p w:rsidR="004D1822" w:rsidRPr="00022722" w:rsidRDefault="004D1822" w:rsidP="004D1822">
            <w:pPr>
              <w:pStyle w:val="Prrafodelista"/>
              <w:ind w:left="0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IV.</w:t>
            </w: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ab/>
              <w:t>Colaboración de la inteligencia colectiva.</w:t>
            </w:r>
          </w:p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LMLR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$0.00</w:t>
            </w:r>
          </w:p>
        </w:tc>
      </w:tr>
      <w:tr w:rsidR="004D1822" w:rsidRPr="00022722" w:rsidTr="00893D0C">
        <w:tc>
          <w:tcPr>
            <w:tcW w:w="13907" w:type="dxa"/>
            <w:gridSpan w:val="17"/>
            <w:shd w:val="clear" w:color="auto" w:fill="C2D69B" w:themeFill="accent3" w:themeFillTint="99"/>
          </w:tcPr>
          <w:p w:rsidR="004D1822" w:rsidRPr="00022722" w:rsidRDefault="004D1822" w:rsidP="004D1822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022722">
              <w:rPr>
                <w:rFonts w:asciiTheme="majorHAnsi" w:hAnsiTheme="majorHAnsi"/>
                <w:b/>
                <w:sz w:val="22"/>
                <w:szCs w:val="22"/>
              </w:rPr>
              <w:t>Actividades Extracurriculares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39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3.1.2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Promover la participación de estudiantes de 2 a 12 semestre en actividades deportivas, culturales y cívicas.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$50,000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39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3.1.2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tabs>
                <w:tab w:val="left" w:pos="10440"/>
              </w:tabs>
              <w:spacing w:line="276" w:lineRule="auto"/>
              <w:ind w:right="94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Participación de los selectivos representativos institucionales en torneos de renombre. 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$30</w:t>
            </w: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0,000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39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3.1.2</w:t>
            </w:r>
          </w:p>
        </w:tc>
        <w:tc>
          <w:tcPr>
            <w:tcW w:w="3118" w:type="dxa"/>
          </w:tcPr>
          <w:p w:rsidR="004D1822" w:rsidRPr="00022722" w:rsidRDefault="004D1822" w:rsidP="004D1822">
            <w:pPr>
              <w:tabs>
                <w:tab w:val="left" w:pos="10440"/>
              </w:tabs>
              <w:spacing w:line="276" w:lineRule="auto"/>
              <w:ind w:right="94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Implementar torneos internos, que se desarrollen en fechas estratégicas tales como; semana de la carrera, semana cultural, día del estudiante, día del maestro, etc.</w:t>
            </w:r>
          </w:p>
          <w:p w:rsidR="004D1822" w:rsidRPr="00022722" w:rsidRDefault="004D1822" w:rsidP="004D1822">
            <w:pPr>
              <w:tabs>
                <w:tab w:val="left" w:pos="10440"/>
              </w:tabs>
              <w:spacing w:line="276" w:lineRule="auto"/>
              <w:ind w:right="94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$50,000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40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3.2.1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  <w:lang w:eastAsia="en-US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Elaborar un diagnóstico institucional de infraestructura para el desarrollo de actividades cívicas, culturales, deportivas y recreativas. 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40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3.2.1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Integrar las acciones de mantenimiento necesarias dentro del programa institucional de mantenimiento de infraestructura.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$1,000,000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lastRenderedPageBreak/>
              <w:t>41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3.2.2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Incorporar a los instructores de actividades culturales, deportivas y cívicas en las actividades complementarias, relacionadas con la formación integral de la comunidad estudiantil.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-</w:t>
            </w:r>
          </w:p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41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3.2.2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Contratación de personal para una más extensiva oferta de actividades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$100000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42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3.2.3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Realizar e implementar programa anual de actividades cívico, culturales, artísticos, deportivos y recreativos.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$100000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42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3.2.3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Participación de los selectivos representativos institucionales en torneos de renombre.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>
              <w:rPr>
                <w:rFonts w:asciiTheme="majorHAnsi" w:hAnsiTheme="majorHAnsi"/>
                <w:sz w:val="22"/>
                <w:szCs w:val="22"/>
                <w:lang w:val="es-ES"/>
              </w:rPr>
              <w:t>0</w:t>
            </w:r>
          </w:p>
        </w:tc>
      </w:tr>
      <w:tr w:rsidR="004D1822" w:rsidRPr="00022722" w:rsidTr="00893D0C">
        <w:tc>
          <w:tcPr>
            <w:tcW w:w="56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42</w:t>
            </w:r>
          </w:p>
        </w:tc>
        <w:tc>
          <w:tcPr>
            <w:tcW w:w="1284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3.2.3</w:t>
            </w:r>
          </w:p>
        </w:tc>
        <w:tc>
          <w:tcPr>
            <w:tcW w:w="3118" w:type="dxa"/>
            <w:vAlign w:val="center"/>
          </w:tcPr>
          <w:p w:rsidR="004D1822" w:rsidRPr="00022722" w:rsidRDefault="004D1822" w:rsidP="004D1822">
            <w:pPr>
              <w:tabs>
                <w:tab w:val="left" w:pos="10440"/>
              </w:tabs>
              <w:spacing w:line="276" w:lineRule="auto"/>
              <w:ind w:right="94"/>
              <w:rPr>
                <w:rFonts w:asciiTheme="majorHAnsi" w:hAnsiTheme="majorHAnsi" w:cs="Calibri"/>
                <w:color w:val="000000"/>
                <w:sz w:val="22"/>
                <w:szCs w:val="22"/>
              </w:rPr>
            </w:pPr>
            <w:r w:rsidRPr="00022722">
              <w:rPr>
                <w:rFonts w:asciiTheme="majorHAnsi" w:hAnsiTheme="majorHAnsi" w:cs="Calibri"/>
                <w:color w:val="000000"/>
                <w:sz w:val="22"/>
                <w:szCs w:val="22"/>
              </w:rPr>
              <w:t>Implementar torneos internos, que se desarrollen en fechas estratégicas tales como; semana de la carrera, semana cultural, día del estudiante, día del maestro, etc.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480" w:type="dxa"/>
          </w:tcPr>
          <w:p w:rsidR="004D1822" w:rsidRPr="00022722" w:rsidRDefault="004D1822" w:rsidP="004D1822">
            <w:pPr>
              <w:rPr>
                <w:rFonts w:asciiTheme="majorHAnsi" w:hAnsiTheme="majorHAnsi"/>
                <w:sz w:val="22"/>
                <w:szCs w:val="22"/>
              </w:rPr>
            </w:pPr>
            <w:r w:rsidRPr="00022722">
              <w:rPr>
                <w:rFonts w:asciiTheme="majorHAnsi" w:hAnsiTheme="majorHAnsi"/>
                <w:sz w:val="22"/>
                <w:szCs w:val="22"/>
              </w:rPr>
              <w:t>X</w:t>
            </w:r>
          </w:p>
        </w:tc>
        <w:tc>
          <w:tcPr>
            <w:tcW w:w="1589" w:type="dxa"/>
          </w:tcPr>
          <w:p w:rsidR="004D1822" w:rsidRPr="00022722" w:rsidRDefault="004D1822" w:rsidP="004D1822">
            <w:pPr>
              <w:jc w:val="center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VMBG</w:t>
            </w:r>
          </w:p>
        </w:tc>
        <w:tc>
          <w:tcPr>
            <w:tcW w:w="1592" w:type="dxa"/>
          </w:tcPr>
          <w:p w:rsidR="004D1822" w:rsidRPr="00022722" w:rsidRDefault="004D1822" w:rsidP="004D1822">
            <w:pPr>
              <w:jc w:val="right"/>
              <w:rPr>
                <w:rFonts w:asciiTheme="majorHAnsi" w:hAnsiTheme="majorHAnsi"/>
                <w:sz w:val="22"/>
                <w:szCs w:val="22"/>
                <w:lang w:val="es-ES"/>
              </w:rPr>
            </w:pPr>
            <w:r w:rsidRPr="00022722">
              <w:rPr>
                <w:rFonts w:asciiTheme="majorHAnsi" w:hAnsiTheme="majorHAnsi"/>
                <w:sz w:val="22"/>
                <w:szCs w:val="22"/>
                <w:lang w:val="es-ES"/>
              </w:rPr>
              <w:t>$50,000</w:t>
            </w:r>
          </w:p>
        </w:tc>
      </w:tr>
    </w:tbl>
    <w:p w:rsidR="004D1822" w:rsidRDefault="004D1822" w:rsidP="00E3556E">
      <w:pPr>
        <w:rPr>
          <w:rFonts w:asciiTheme="majorHAnsi" w:hAnsiTheme="majorHAnsi"/>
          <w:b/>
          <w:sz w:val="36"/>
          <w:lang w:val="es-ES"/>
        </w:rPr>
      </w:pPr>
    </w:p>
    <w:tbl>
      <w:tblPr>
        <w:tblStyle w:val="Tablaconcuadrcula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283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2268"/>
        <w:gridCol w:w="1701"/>
      </w:tblGrid>
      <w:tr w:rsidR="00893D0C" w:rsidRPr="0042272A" w:rsidTr="003B1530">
        <w:trPr>
          <w:cantSplit/>
          <w:trHeight w:val="640"/>
          <w:tblHeader/>
        </w:trPr>
        <w:tc>
          <w:tcPr>
            <w:tcW w:w="704" w:type="dxa"/>
            <w:shd w:val="clear" w:color="auto" w:fill="D9D9D9" w:themeFill="background1" w:themeFillShade="D9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42272A">
              <w:rPr>
                <w:rFonts w:asciiTheme="majorHAnsi" w:hAnsiTheme="majorHAnsi"/>
                <w:b/>
                <w:lang w:val="es-ES"/>
              </w:rPr>
              <w:t>No.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42272A">
              <w:rPr>
                <w:rFonts w:asciiTheme="majorHAnsi" w:hAnsiTheme="majorHAnsi"/>
                <w:b/>
                <w:lang w:val="es-ES"/>
              </w:rPr>
              <w:t>Número proyecto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42272A">
              <w:rPr>
                <w:rFonts w:asciiTheme="majorHAnsi" w:hAnsiTheme="majorHAnsi"/>
                <w:b/>
                <w:lang w:val="es-ES"/>
              </w:rPr>
              <w:t>Descripción de la actividad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Ene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Feb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Mar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Abr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May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Jun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Jul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Ago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Sep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Oct</w:t>
            </w:r>
          </w:p>
        </w:tc>
        <w:tc>
          <w:tcPr>
            <w:tcW w:w="426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Nov</w:t>
            </w:r>
          </w:p>
        </w:tc>
        <w:tc>
          <w:tcPr>
            <w:tcW w:w="425" w:type="dxa"/>
            <w:shd w:val="clear" w:color="auto" w:fill="D9D9D9" w:themeFill="background1" w:themeFillShade="D9"/>
            <w:textDirection w:val="btLr"/>
            <w:vAlign w:val="center"/>
          </w:tcPr>
          <w:p w:rsidR="00893D0C" w:rsidRPr="0042272A" w:rsidRDefault="00893D0C" w:rsidP="003B1530">
            <w:pPr>
              <w:ind w:left="113" w:right="113"/>
              <w:rPr>
                <w:rFonts w:asciiTheme="majorHAnsi" w:hAnsiTheme="majorHAnsi"/>
                <w:b/>
                <w:sz w:val="18"/>
                <w:lang w:val="es-ES"/>
              </w:rPr>
            </w:pPr>
            <w:r w:rsidRPr="0042272A">
              <w:rPr>
                <w:rFonts w:asciiTheme="majorHAnsi" w:hAnsiTheme="majorHAnsi"/>
                <w:b/>
                <w:sz w:val="18"/>
                <w:lang w:val="es-ES"/>
              </w:rPr>
              <w:t>Dic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42272A">
              <w:rPr>
                <w:rFonts w:asciiTheme="majorHAnsi" w:hAnsiTheme="majorHAnsi"/>
                <w:b/>
                <w:lang w:val="es-ES"/>
              </w:rPr>
              <w:t>Responsable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b/>
                <w:lang w:val="es-ES"/>
              </w:rPr>
            </w:pPr>
            <w:r w:rsidRPr="0042272A">
              <w:rPr>
                <w:rFonts w:asciiTheme="majorHAnsi" w:hAnsiTheme="majorHAnsi"/>
                <w:b/>
                <w:lang w:val="es-ES"/>
              </w:rPr>
              <w:t>Presupuesto</w:t>
            </w:r>
          </w:p>
        </w:tc>
      </w:tr>
      <w:tr w:rsidR="00893D0C" w:rsidRPr="0042272A" w:rsidTr="003B1530">
        <w:tc>
          <w:tcPr>
            <w:tcW w:w="13887" w:type="dxa"/>
            <w:gridSpan w:val="17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b/>
                <w:color w:val="000000"/>
                <w:sz w:val="22"/>
                <w:szCs w:val="22"/>
              </w:rPr>
              <w:t>Subdirección de Planeación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  <w:lang w:eastAsia="en-U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  <w:lang w:eastAsia="en-U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eastAsia="en-U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Generar campañas de concientización y promoción de la bioética Implementada entre la comunidad del TecNM Sur de Guanajuato.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Difundir las convocatorias de becas emitidas por los diferentes niveles de gobierno e instituciones privadas. 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br/>
              <w:t>Promover la participación de estudiantes en las convocatorias emitidas por los diferentes niveles de gobierno e instituciones privadas.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Realizar un análisis de las estrategias implementadas para incrementar la matrícula y realizar los ajustes necesarios.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br/>
              <w:t xml:space="preserve"> 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br/>
              <w:t xml:space="preserve"> Realizar un análisis de las 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estrategias implementadas para reducir la reprobación y deserción en los primeros semestres.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2.2.6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Realizar un análisis de las estrategias implementadas para mejorar la eficiencia terminal y proponer los ajustes necesarios que permitan mejorar su eficiencia en caso de ser necesario.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-----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-----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2.3.3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-----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2.4.1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Considerar las necesidades de los laboratorios de los planes y programas de estudio que así lo requieran, de acuerdo con los requerimientos que presente el área académica.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2.4.2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Elaborar un diagnóstico de la capacidad instalada para estudiantes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2.4.3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Elaborar un inventario de las propiedades de terreno del ITSUR, así como un 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diagnóstico de la situación de cada terreno.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Continuar con los trabajos y actividades relacionadas con la Norma MeXicana NMX-R-025-SCFI-2015 en Igualdad Laboral y No Discriminación atendiendo la plantilla laboral.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ET.2.2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Continuar con el mantenimiento y adecuación de espacios adaptados de uso común y para el personal.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Implementar desde el área académica la difusión de manuales para el uso de lenguaje incluyente, accesible y no seXista entre la comunidad estudiantil.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ET.3.2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Establecer e implementar un programa anual de acciones de mejora y campaña institucional para que el personal del ITSUR vivan los principios y valores que se derivan del código de Ética y Código de Conducta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4.3.3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Elaborar un inventario y diagnóstico de los laboratorios disponibles en el ITSUR. Identificar los requisitos necesarios para la certificación de laboratorios. Elaborar un plan de trabajo para certificar al menos un laboratorio.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Realizar un análisis del manual de procedimientos de la operatividad del SGI.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Elaborar el Plan de Trabajo Anual de forma inclusiva y democrática.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6.2.3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Continuar con las actividades encaminadas a mantener los certificados que integran el Sistema de Gestión Integral, así como el Reconocimiento de Responsabilidad Social.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$308,650.00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6.2.4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Analizar, desarrollar e implementar, actualizaciones y nuevos desarrollos informáticos, para el apoyo de los procesos administrativos.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lastRenderedPageBreak/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Integrar los elementos para solicitar a través de oficio, la participación en la Programación Detallada.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6.4.1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Operar el Programa Anual de Trabajo del Sistema </w:t>
            </w:r>
            <w:r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de Gestión de Calidad Ética.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 xml:space="preserve">Generar informe de autoevaluación y de labores integrados.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101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ET.6.1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Continuar con la promoción, difusión e implementación del Programa institucional de cero plásticos de un solo uso.</w:t>
            </w: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br/>
              <w:t>Se propone: Generar e implementar un Programa institucional de cero plásticos de un solo uso.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ET.6.2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Participación en el programa nacional Campus Sustentables del TecNM para la instalación de paneles solares.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13887" w:type="dxa"/>
            <w:gridSpan w:val="17"/>
            <w:shd w:val="clear" w:color="auto" w:fill="D6E3BC" w:themeFill="accent3" w:themeFillTint="66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  <w:t>Servicios informáticos y telecomunicaciones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Diagnostico institucional de infraestructura de TI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Operación del programa de mantenimiento preventivo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$1,134,950.00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mantenimiento preventivo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Atención de solicitudes de soporte técnico y mantenimiento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Atención a usuarios en laboratorios y salas de cómputo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Impresión de credenciales de nuevo ingreso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$15,000.00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Creación de cuentas de correo de nuevo ingreso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 trimestral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compras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Propuesta de inversión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trabajo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JCGC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13887" w:type="dxa"/>
            <w:gridSpan w:val="17"/>
            <w:shd w:val="clear" w:color="auto" w:fill="D6E3BC" w:themeFill="accent3" w:themeFillTint="66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  <w:t>Departamento de Centro de Información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Seguimiento a la Selección de necesidades documentales por parte del depto. académico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Recepción de material documental adquirido por donación (proceso de titulación)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 de Adquisición de necesidades documentales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Registro de material documental nuevo al sistema siabuc9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$360,000.00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Atención a usuarios en servicios de préstamo de material documental y préstamos de áreas de estudio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Atención a usuarios en servicio de botiquín (medicamentos)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$10,000.00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Reporte de sanciones por entrega eXtemporánea de material documental de los usuarios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Elaboración de constancias de no adeudo de material documental del personal docente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Recepción de material documental por reposición por parte del usuario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Realización de Inventario de material documental eXistente en Centro de Información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Seguimiento a la evaluación de pertinencia del material documental eXistente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Depuración de la colección documental ( descarte)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Alimentación de tesis de licenciatura en el repositorio TECM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Informes trimestrales al TecNM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Informes trimestrales a Subdirección de Planeación ITSUR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trabajo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Propuesta de inversión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APA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13887" w:type="dxa"/>
            <w:gridSpan w:val="17"/>
            <w:shd w:val="clear" w:color="auto" w:fill="D6E3BC" w:themeFill="accent3" w:themeFillTint="66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  <w:t>Departamento de Estadística y Evaluación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eastAsia="en-U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Captura de indicadores en SIB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Elaboración de Estadística de Bibliotecas 912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Elaboración y captura de estadística 911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Generación de indicadores en SIGES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Elaboración de formatos de Transparencia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Seguimiento a PDI por ciclo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Archivística 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Seguimiento a la NMX-025 en Igualdad Laboral y No Discriminación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Reuniones del Comité de Igualdad Laboral y No Discriminación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Aplicación del cuestionario de Clima Laboral y No Discriminación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Auditoría interna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Reuniones del Subcomité de atención a presuntos casos de violencia laboral, acoso y hostigamiento seXual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Coffee break para usarse durante las capacitaciones de la NMX-025 en Igualdad Laboral y No Discriminación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$3,000.00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 xml:space="preserve">Contratación de servicio eXterno para la colocación de 67 ML de losetas podotáctiles Con la finalidad de facilitar el desplazamiento de </w:t>
            </w:r>
            <w:r w:rsidRPr="0042272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personas ciegas y débiles visuales y disminuir el riesgo de accidentes basado en los requerimientos de la norma de accesibilidad para infraestructura educativa de INIFEd en contribución con la NMX-025 en Igualdad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$90,000.00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>Compra de 9 mapas hapticos y una base para los edificios de la institución con la finalidad de facilitar la orientación y desplazamiento de todo tipo de personas y disminuir el riesgo de accidentes basado en los requerimientos de la norma de accesibilidad para infraestructura educativa de INIFEd en contribución con la NMX-025 en Igualdad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$470,000.00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 xml:space="preserve">Compra de 4 soportes giratorios con pasamanos para inodoros y 6 ganchos portamuletas para los edificios Centro de </w:t>
            </w:r>
            <w:r w:rsidRPr="0042272A">
              <w:rPr>
                <w:rFonts w:asciiTheme="majorHAnsi" w:hAnsiTheme="majorHAnsi" w:cstheme="minorHAnsi"/>
                <w:sz w:val="22"/>
                <w:szCs w:val="22"/>
              </w:rPr>
              <w:lastRenderedPageBreak/>
              <w:t>Información, Vinculación y Edificio A planta Alta con la finalidad de mejorar la accesibilidad de la Institución y contribuir con la NMX-025 en Igualdad.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$30,000.00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 xml:space="preserve">Propuesta de inversión 2023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</w:rPr>
              <w:t xml:space="preserve">Propuesta de Plan de Trabajo 2023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D0C" w:rsidRPr="0042272A" w:rsidRDefault="00893D0C" w:rsidP="003B1530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GAJV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13887" w:type="dxa"/>
            <w:gridSpan w:val="17"/>
            <w:shd w:val="clear" w:color="auto" w:fill="D6E3BC" w:themeFill="accent3" w:themeFillTint="66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b/>
                <w:color w:val="000000"/>
                <w:sz w:val="22"/>
                <w:szCs w:val="22"/>
              </w:rPr>
              <w:t>Departamento de Control Escolar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Procedimiento Inscripción(Calendarios/fichas/inscripción No Control/credencial)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Procedimiento Reinscripciones(Orden de Entrada/SICE)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Reporte de Matricula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Atención en ventanilla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$70,000.00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Liberación Docente Firma de Actas Finales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Calificaciones(Cortes y Final)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Auditoria de Matricula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$60,000.00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Buena Salud/API/IMSS/TIPS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$250,000.00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Becas(Internas/Estatales/Federales)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$5,000.00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Procedimiento Titulación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$5,000.00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Informes Trimestrales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Archivística 2022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Propuesta de inversión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trabajo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GBM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13887" w:type="dxa"/>
            <w:gridSpan w:val="17"/>
            <w:shd w:val="clear" w:color="auto" w:fill="D6E3BC" w:themeFill="accent3" w:themeFillTint="66"/>
            <w:vAlign w:val="center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b/>
                <w:sz w:val="22"/>
                <w:szCs w:val="22"/>
                <w:lang w:val="es-ES"/>
              </w:rPr>
              <w:t>Departamento de Planeación y programación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Diagnostico institucional de infraestructura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mantenimiento preventivo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compras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Mantenimiento de infraestructura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$224,900.00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  <w:vAlign w:val="bottom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Operación del programa de mantenimiento preventivo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$800,000.00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Informe trimestral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Propuesta de inversión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  <w:tr w:rsidR="00893D0C" w:rsidRPr="0042272A" w:rsidTr="003B1530">
        <w:tc>
          <w:tcPr>
            <w:tcW w:w="704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276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2835" w:type="dxa"/>
          </w:tcPr>
          <w:p w:rsidR="00893D0C" w:rsidRPr="0042272A" w:rsidRDefault="00893D0C" w:rsidP="003B1530">
            <w:pPr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  <w:shd w:val="clear" w:color="auto" w:fill="FFFFFF"/>
              </w:rPr>
              <w:t>Programa de trabajo 2023</w:t>
            </w: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6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25" w:type="dxa"/>
            <w:vAlign w:val="center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</w:tcPr>
          <w:p w:rsidR="00893D0C" w:rsidRPr="0042272A" w:rsidRDefault="00893D0C" w:rsidP="003B1530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s-ES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GDM</w:t>
            </w:r>
          </w:p>
        </w:tc>
        <w:tc>
          <w:tcPr>
            <w:tcW w:w="1701" w:type="dxa"/>
          </w:tcPr>
          <w:p w:rsidR="00893D0C" w:rsidRPr="0042272A" w:rsidRDefault="00893D0C" w:rsidP="003B1530">
            <w:pPr>
              <w:jc w:val="right"/>
              <w:rPr>
                <w:rFonts w:asciiTheme="majorHAnsi" w:hAnsiTheme="majorHAnsi" w:cstheme="minorHAnsi"/>
                <w:sz w:val="22"/>
                <w:szCs w:val="22"/>
              </w:rPr>
            </w:pPr>
            <w:r w:rsidRPr="0042272A">
              <w:rPr>
                <w:rFonts w:asciiTheme="majorHAnsi" w:hAnsiTheme="majorHAnsi" w:cstheme="minorHAnsi"/>
                <w:sz w:val="22"/>
                <w:szCs w:val="22"/>
                <w:lang w:val="es-ES"/>
              </w:rPr>
              <w:t>$0.00</w:t>
            </w:r>
          </w:p>
        </w:tc>
      </w:tr>
    </w:tbl>
    <w:p w:rsidR="00893D0C" w:rsidRPr="0061141F" w:rsidRDefault="00893D0C" w:rsidP="00E3556E">
      <w:pPr>
        <w:rPr>
          <w:rFonts w:asciiTheme="majorHAnsi" w:hAnsiTheme="majorHAnsi"/>
          <w:b/>
          <w:sz w:val="36"/>
          <w:lang w:val="es-ES"/>
        </w:rPr>
      </w:pPr>
    </w:p>
    <w:p w:rsidR="0061141F" w:rsidRPr="0061141F" w:rsidRDefault="0061141F" w:rsidP="0061141F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  <w:r>
        <w:rPr>
          <w:rFonts w:asciiTheme="majorHAnsi" w:hAnsiTheme="majorHAnsi"/>
          <w:b/>
          <w:sz w:val="28"/>
          <w:lang w:val="es-ES"/>
        </w:rPr>
        <w:t xml:space="preserve">  </w:t>
      </w: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E07027" w:rsidRDefault="00E07027" w:rsidP="00E3556E">
      <w:pPr>
        <w:rPr>
          <w:rFonts w:asciiTheme="majorHAnsi" w:hAnsiTheme="majorHAnsi"/>
          <w:b/>
          <w:sz w:val="28"/>
          <w:lang w:val="es-ES"/>
        </w:rPr>
      </w:pPr>
    </w:p>
    <w:p w:rsidR="004D239E" w:rsidRDefault="004D239E" w:rsidP="00E3556E">
      <w:pPr>
        <w:rPr>
          <w:rFonts w:asciiTheme="majorHAnsi" w:hAnsiTheme="majorHAnsi"/>
          <w:b/>
          <w:sz w:val="28"/>
          <w:lang w:val="es-ES"/>
        </w:rPr>
      </w:pPr>
      <w:r w:rsidRPr="004D239E">
        <w:rPr>
          <w:rFonts w:asciiTheme="majorHAnsi" w:hAnsiTheme="majorHAnsi"/>
          <w:b/>
          <w:sz w:val="28"/>
          <w:lang w:val="es-ES"/>
        </w:rPr>
        <w:t>Consideraciones finales</w:t>
      </w:r>
      <w:r>
        <w:rPr>
          <w:rFonts w:asciiTheme="majorHAnsi" w:hAnsiTheme="majorHAnsi"/>
          <w:b/>
          <w:sz w:val="28"/>
          <w:lang w:val="es-ES"/>
        </w:rPr>
        <w:t>:</w:t>
      </w:r>
    </w:p>
    <w:p w:rsidR="00893D0C" w:rsidRDefault="00893D0C" w:rsidP="00E3556E">
      <w:pPr>
        <w:rPr>
          <w:rFonts w:asciiTheme="majorHAnsi" w:hAnsiTheme="majorHAnsi"/>
          <w:b/>
          <w:sz w:val="28"/>
          <w:lang w:val="es-ES"/>
        </w:rPr>
      </w:pPr>
    </w:p>
    <w:p w:rsidR="0061141F" w:rsidRDefault="004D239E" w:rsidP="00893D0C">
      <w:pPr>
        <w:pStyle w:val="Prrafodelista"/>
        <w:numPr>
          <w:ilvl w:val="0"/>
          <w:numId w:val="8"/>
        </w:numPr>
        <w:rPr>
          <w:rFonts w:asciiTheme="majorHAnsi" w:hAnsiTheme="majorHAnsi"/>
          <w:lang w:val="es-ES"/>
        </w:rPr>
      </w:pPr>
      <w:r w:rsidRPr="004D239E">
        <w:rPr>
          <w:rFonts w:asciiTheme="majorHAnsi" w:hAnsiTheme="majorHAnsi"/>
          <w:lang w:val="es-ES"/>
        </w:rPr>
        <w:t xml:space="preserve">El presente Programa Operativo Anual, podrá ser revisado, ajustado y reprogramado con base en las necesidades de las diferentes áreas que integran el Instituto Tecnológico Superior del Sur de Guanajuato. </w:t>
      </w:r>
    </w:p>
    <w:p w:rsidR="003B1530" w:rsidRDefault="003B1530" w:rsidP="003B1530">
      <w:pPr>
        <w:rPr>
          <w:rFonts w:asciiTheme="majorHAnsi" w:hAnsiTheme="majorHAnsi"/>
          <w:lang w:val="es-ES"/>
        </w:rPr>
        <w:sectPr w:rsidR="003B1530" w:rsidSect="00EF76AB">
          <w:headerReference w:type="default" r:id="rId10"/>
          <w:footerReference w:type="default" r:id="rId11"/>
          <w:pgSz w:w="15842" w:h="12242" w:orient="landscape" w:code="1"/>
          <w:pgMar w:top="1985" w:right="238" w:bottom="1134" w:left="1134" w:header="1560" w:footer="794" w:gutter="0"/>
          <w:cols w:space="708"/>
          <w:docGrid w:linePitch="360"/>
        </w:sectPr>
      </w:pPr>
    </w:p>
    <w:p w:rsidR="003B1530" w:rsidRDefault="003B1530" w:rsidP="003B1530">
      <w:pPr>
        <w:rPr>
          <w:rFonts w:asciiTheme="majorHAnsi" w:hAnsiTheme="majorHAnsi"/>
          <w:lang w:val="es-ES"/>
        </w:rPr>
      </w:pPr>
    </w:p>
    <w:p w:rsidR="003B1530" w:rsidRDefault="003B1530" w:rsidP="003B1530">
      <w:pPr>
        <w:rPr>
          <w:rFonts w:asciiTheme="majorHAnsi" w:hAnsiTheme="majorHAnsi"/>
          <w:lang w:val="es-ES"/>
        </w:rPr>
      </w:pPr>
    </w:p>
    <w:p w:rsidR="003B1530" w:rsidRDefault="003B1530" w:rsidP="003B1530">
      <w:pPr>
        <w:jc w:val="center"/>
        <w:rPr>
          <w:rFonts w:asciiTheme="majorHAnsi" w:hAnsiTheme="majorHAnsi"/>
          <w:lang w:val="es-ES"/>
        </w:rPr>
      </w:pPr>
    </w:p>
    <w:p w:rsidR="003B1530" w:rsidRPr="003B1530" w:rsidRDefault="003B1530" w:rsidP="003B1530">
      <w:pPr>
        <w:rPr>
          <w:rFonts w:asciiTheme="majorHAnsi" w:hAnsiTheme="majorHAnsi"/>
          <w:lang w:val="es-ES"/>
        </w:rPr>
      </w:pPr>
    </w:p>
    <w:p w:rsidR="003B1530" w:rsidRDefault="003B1530" w:rsidP="003B1530">
      <w:pPr>
        <w:jc w:val="center"/>
        <w:rPr>
          <w:rFonts w:asciiTheme="majorHAnsi" w:hAnsiTheme="majorHAnsi"/>
          <w:b/>
          <w:sz w:val="36"/>
          <w:lang w:val="es-ES"/>
        </w:rPr>
      </w:pPr>
    </w:p>
    <w:p w:rsidR="001F0D83" w:rsidRPr="001F0D83" w:rsidRDefault="001F0D83" w:rsidP="001F0D83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bookmarkStart w:id="0" w:name="_Toc478737447"/>
      <w:bookmarkStart w:id="1" w:name="_Toc478978180"/>
      <w:r w:rsidRPr="001F0D83">
        <w:rPr>
          <w:rFonts w:ascii="Montserrat" w:hAnsi="Montserrat" w:cs="Times New Roman"/>
          <w:b/>
          <w:color w:val="auto"/>
          <w:sz w:val="22"/>
          <w:szCs w:val="22"/>
        </w:rPr>
        <w:t>Dirección de Planeación y Vinculación</w:t>
      </w:r>
    </w:p>
    <w:p w:rsidR="001F0D83" w:rsidRPr="001F0D83" w:rsidRDefault="001F0D83" w:rsidP="001F0D83">
      <w:pPr>
        <w:pStyle w:val="Ttulo2"/>
        <w:jc w:val="center"/>
        <w:rPr>
          <w:rFonts w:ascii="Montserrat" w:hAnsi="Montserrat" w:cs="Times New Roman"/>
          <w:b/>
          <w:color w:val="auto"/>
          <w:sz w:val="22"/>
          <w:szCs w:val="22"/>
        </w:rPr>
      </w:pPr>
      <w:r w:rsidRPr="001F0D83">
        <w:rPr>
          <w:rFonts w:ascii="Montserrat" w:hAnsi="Montserrat" w:cs="Times New Roman"/>
          <w:b/>
          <w:color w:val="auto"/>
          <w:sz w:val="22"/>
          <w:szCs w:val="22"/>
        </w:rPr>
        <w:t>Programa Operativo Anual 2022</w:t>
      </w:r>
      <w:bookmarkEnd w:id="0"/>
      <w:bookmarkEnd w:id="1"/>
    </w:p>
    <w:p w:rsidR="001F0D83" w:rsidRPr="001F0D83" w:rsidRDefault="001F0D83" w:rsidP="001F0D83">
      <w:pPr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b/>
          <w:sz w:val="22"/>
          <w:szCs w:val="22"/>
        </w:rPr>
      </w:pPr>
      <w:r w:rsidRPr="001F0D83">
        <w:rPr>
          <w:rFonts w:ascii="Montserrat" w:hAnsi="Montserrat"/>
          <w:b/>
          <w:sz w:val="22"/>
          <w:szCs w:val="22"/>
        </w:rPr>
        <w:t>Elaboración e Integración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b/>
          <w:sz w:val="20"/>
          <w:szCs w:val="22"/>
        </w:rPr>
      </w:pPr>
      <w:r w:rsidRPr="001F0D83">
        <w:rPr>
          <w:rFonts w:ascii="Montserrat" w:hAnsi="Montserrat"/>
          <w:b/>
          <w:sz w:val="20"/>
          <w:szCs w:val="22"/>
        </w:rPr>
        <w:t>Subdi</w:t>
      </w:r>
      <w:r>
        <w:rPr>
          <w:rFonts w:ascii="Montserrat" w:hAnsi="Montserrat"/>
          <w:b/>
          <w:sz w:val="20"/>
          <w:szCs w:val="22"/>
        </w:rPr>
        <w:t>rección de Vinculación</w:t>
      </w:r>
    </w:p>
    <w:p w:rsidR="001F0D83" w:rsidRPr="001F0D83" w:rsidRDefault="00166934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</w:t>
      </w:r>
      <w:bookmarkStart w:id="2" w:name="_GoBack"/>
      <w:bookmarkEnd w:id="2"/>
      <w:r w:rsidR="001F0D83" w:rsidRPr="001F0D83">
        <w:rPr>
          <w:rFonts w:ascii="Montserrat" w:hAnsi="Montserrat"/>
          <w:sz w:val="18"/>
          <w:szCs w:val="22"/>
        </w:rPr>
        <w:t>. Luis Enrique Olivera Olivera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Gema Pizano Sánchez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Guillermo Javier Jiménez Nava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Luis Martín Lara Rangel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Ing. Víctor Miguel Bedolla Guzmán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Default="001F0D83" w:rsidP="001F0D83">
      <w:pPr>
        <w:jc w:val="center"/>
        <w:rPr>
          <w:rFonts w:ascii="Montserrat" w:hAnsi="Montserrat"/>
          <w:b/>
          <w:sz w:val="20"/>
          <w:szCs w:val="22"/>
        </w:rPr>
      </w:pPr>
      <w:r w:rsidRPr="001F0D83">
        <w:rPr>
          <w:rFonts w:ascii="Montserrat" w:hAnsi="Montserrat"/>
          <w:b/>
          <w:sz w:val="20"/>
          <w:szCs w:val="22"/>
        </w:rPr>
        <w:t xml:space="preserve">Subdirección de </w:t>
      </w:r>
      <w:r>
        <w:rPr>
          <w:rFonts w:ascii="Montserrat" w:hAnsi="Montserrat"/>
          <w:b/>
          <w:sz w:val="20"/>
          <w:szCs w:val="22"/>
        </w:rPr>
        <w:t>Planeación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Ing. Juan Carlos Guzmán Contreras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Gustavo Damián Martínez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Giezi Anahí Jaimes Valle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 Graciela Baeza Martínez</w:t>
      </w:r>
    </w:p>
    <w:p w:rsidR="00822951" w:rsidRDefault="00822951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C.P. Angélica Aguilera Pantoja.</w:t>
      </w:r>
    </w:p>
    <w:p w:rsidR="00822951" w:rsidRDefault="00822951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Revisión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DD493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Lic.</w:t>
      </w:r>
      <w:r w:rsidR="001F0D83" w:rsidRPr="001F0D83">
        <w:rPr>
          <w:rFonts w:ascii="Montserrat" w:hAnsi="Montserrat"/>
          <w:sz w:val="18"/>
          <w:szCs w:val="22"/>
        </w:rPr>
        <w:t xml:space="preserve"> Gerardo Gámez García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Direcc</w:t>
      </w:r>
      <w:r w:rsidR="00822951">
        <w:rPr>
          <w:rFonts w:ascii="Montserrat" w:hAnsi="Montserrat"/>
          <w:sz w:val="18"/>
          <w:szCs w:val="22"/>
        </w:rPr>
        <w:t>ión de Planeación y Vinculación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Ing. J. Trinidad Tapia Cruz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Director Académ</w:t>
      </w:r>
      <w:r w:rsidR="00822951">
        <w:rPr>
          <w:rFonts w:ascii="Montserrat" w:hAnsi="Montserrat"/>
          <w:sz w:val="18"/>
          <w:szCs w:val="22"/>
        </w:rPr>
        <w:t>ico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C.P. Verónica Guzmán Zavala</w:t>
      </w:r>
    </w:p>
    <w:p w:rsidR="001F0D83" w:rsidRPr="001F0D83" w:rsidRDefault="001F0D83" w:rsidP="001F0D83">
      <w:pPr>
        <w:jc w:val="center"/>
        <w:rPr>
          <w:rFonts w:ascii="Montserrat" w:hAnsi="Montserrat"/>
          <w:b/>
          <w:sz w:val="18"/>
          <w:szCs w:val="22"/>
          <w:lang w:eastAsia="es-MX"/>
        </w:rPr>
      </w:pPr>
      <w:r w:rsidRPr="001F0D83">
        <w:rPr>
          <w:rFonts w:ascii="Montserrat" w:hAnsi="Montserrat"/>
          <w:sz w:val="18"/>
          <w:szCs w:val="22"/>
        </w:rPr>
        <w:t>Subdirectora de Servicios Administrativos</w:t>
      </w:r>
    </w:p>
    <w:p w:rsid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b/>
          <w:sz w:val="22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>Autorización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 w:rsidRPr="001F0D83">
        <w:rPr>
          <w:rFonts w:ascii="Montserrat" w:hAnsi="Montserrat"/>
          <w:sz w:val="18"/>
          <w:szCs w:val="22"/>
        </w:rPr>
        <w:t>Lic. Antonio Ramírez Vallejo</w:t>
      </w:r>
    </w:p>
    <w:p w:rsidR="001F0D83" w:rsidRPr="001F0D83" w:rsidRDefault="001F0D83" w:rsidP="001F0D83">
      <w:pPr>
        <w:jc w:val="center"/>
        <w:rPr>
          <w:rFonts w:ascii="Montserrat" w:hAnsi="Montserrat"/>
          <w:sz w:val="18"/>
          <w:szCs w:val="22"/>
        </w:rPr>
      </w:pPr>
      <w:r>
        <w:rPr>
          <w:rFonts w:ascii="Montserrat" w:hAnsi="Montserrat"/>
          <w:sz w:val="18"/>
          <w:szCs w:val="22"/>
        </w:rPr>
        <w:t>Director General</w:t>
      </w:r>
    </w:p>
    <w:sectPr w:rsidR="001F0D83" w:rsidRPr="001F0D83" w:rsidSect="003B1530">
      <w:headerReference w:type="default" r:id="rId12"/>
      <w:footerReference w:type="default" r:id="rId13"/>
      <w:pgSz w:w="12242" w:h="15842" w:code="1"/>
      <w:pgMar w:top="238" w:right="1134" w:bottom="1134" w:left="1985" w:header="156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8EC" w:rsidRDefault="005368EC">
      <w:r>
        <w:separator/>
      </w:r>
    </w:p>
  </w:endnote>
  <w:endnote w:type="continuationSeparator" w:id="0">
    <w:p w:rsidR="005368EC" w:rsidRDefault="0053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3B153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2D0B5D"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F5CF18F" wp14:editId="7BABA43B">
          <wp:simplePos x="0" y="0"/>
          <wp:positionH relativeFrom="margin">
            <wp:posOffset>1161844</wp:posOffset>
          </wp:positionH>
          <wp:positionV relativeFrom="paragraph">
            <wp:posOffset>116205</wp:posOffset>
          </wp:positionV>
          <wp:extent cx="414020" cy="464820"/>
          <wp:effectExtent l="0" t="0" r="5080" b="0"/>
          <wp:wrapSquare wrapText="bothSides"/>
          <wp:docPr id="18" name="Imagen 18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8F1FE4E" wp14:editId="56B5EA66">
          <wp:simplePos x="0" y="0"/>
          <wp:positionH relativeFrom="margin">
            <wp:posOffset>24130</wp:posOffset>
          </wp:positionH>
          <wp:positionV relativeFrom="paragraph">
            <wp:posOffset>115141</wp:posOffset>
          </wp:positionV>
          <wp:extent cx="434340" cy="434340"/>
          <wp:effectExtent l="0" t="0" r="3810" b="3810"/>
          <wp:wrapSquare wrapText="bothSides"/>
          <wp:docPr id="1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B1530" w:rsidRDefault="003B153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31051F6D" wp14:editId="2C936447">
          <wp:simplePos x="0" y="0"/>
          <wp:positionH relativeFrom="margin">
            <wp:posOffset>487886</wp:posOffset>
          </wp:positionH>
          <wp:positionV relativeFrom="paragraph">
            <wp:posOffset>25400</wp:posOffset>
          </wp:positionV>
          <wp:extent cx="669290" cy="395605"/>
          <wp:effectExtent l="0" t="0" r="0" b="4445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6CFA14F8" wp14:editId="51035412">
          <wp:simplePos x="0" y="0"/>
          <wp:positionH relativeFrom="column">
            <wp:posOffset>1632156</wp:posOffset>
          </wp:positionH>
          <wp:positionV relativeFrom="paragraph">
            <wp:posOffset>24765</wp:posOffset>
          </wp:positionV>
          <wp:extent cx="390525" cy="390525"/>
          <wp:effectExtent l="0" t="0" r="9525" b="9525"/>
          <wp:wrapSquare wrapText="bothSides"/>
          <wp:docPr id="22" name="Imagen 22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1530" w:rsidRDefault="003B153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1F85617" wp14:editId="7F0B6973">
              <wp:simplePos x="0" y="0"/>
              <wp:positionH relativeFrom="margin">
                <wp:posOffset>-64135</wp:posOffset>
              </wp:positionH>
              <wp:positionV relativeFrom="paragraph">
                <wp:posOffset>77899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3B1530" w:rsidRPr="006F2837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3B1530" w:rsidRPr="006F2837" w:rsidRDefault="003B1530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8561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6.15pt;width:432.65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" filled="f" stroked="f">
              <v:textbox>
                <w:txbxContent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3B1530" w:rsidRPr="006F2837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3B1530" w:rsidRPr="006F2837" w:rsidRDefault="003B1530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264" behindDoc="1" locked="0" layoutInCell="1" allowOverlap="1" wp14:anchorId="73D958B7" wp14:editId="742D6521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1530" w:rsidRDefault="003B153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3B1530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5012AF9" wp14:editId="68DA5C09">
              <wp:simplePos x="0" y="0"/>
              <wp:positionH relativeFrom="margin">
                <wp:posOffset>1231265</wp:posOffset>
              </wp:positionH>
              <wp:positionV relativeFrom="paragraph">
                <wp:posOffset>535305</wp:posOffset>
              </wp:positionV>
              <wp:extent cx="5494020" cy="668020"/>
              <wp:effectExtent l="0" t="0" r="0" b="0"/>
              <wp:wrapNone/>
              <wp:docPr id="2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3B1530" w:rsidRPr="006F2837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3B1530" w:rsidRPr="006F2837" w:rsidRDefault="003B1530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12AF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96.95pt;margin-top:42.15pt;width:432.6pt;height:5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" filled="f" stroked="f">
              <v:textbox>
                <w:txbxContent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3B1530" w:rsidRPr="006F2837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3B1530" w:rsidRPr="006F2837" w:rsidRDefault="003B1530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5648" behindDoc="1" locked="0" layoutInCell="1" allowOverlap="1" wp14:anchorId="1359307E" wp14:editId="5FA600AD">
          <wp:simplePos x="0" y="0"/>
          <wp:positionH relativeFrom="margin">
            <wp:posOffset>1783080</wp:posOffset>
          </wp:positionH>
          <wp:positionV relativeFrom="paragraph">
            <wp:posOffset>130175</wp:posOffset>
          </wp:positionV>
          <wp:extent cx="669290" cy="395605"/>
          <wp:effectExtent l="0" t="0" r="0" b="4445"/>
          <wp:wrapNone/>
          <wp:docPr id="681" name="Imagen 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1" locked="0" layoutInCell="1" allowOverlap="1" wp14:anchorId="7806029E" wp14:editId="199F67AE">
          <wp:simplePos x="0" y="0"/>
          <wp:positionH relativeFrom="margin">
            <wp:posOffset>1198245</wp:posOffset>
          </wp:positionH>
          <wp:positionV relativeFrom="paragraph">
            <wp:posOffset>659765</wp:posOffset>
          </wp:positionV>
          <wp:extent cx="6431280" cy="763270"/>
          <wp:effectExtent l="0" t="0" r="0" b="0"/>
          <wp:wrapNone/>
          <wp:docPr id="682" name="Imagen 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9744" behindDoc="0" locked="0" layoutInCell="1" allowOverlap="1" wp14:anchorId="0CFCEF55" wp14:editId="5E763617">
          <wp:simplePos x="0" y="0"/>
          <wp:positionH relativeFrom="column">
            <wp:posOffset>2927350</wp:posOffset>
          </wp:positionH>
          <wp:positionV relativeFrom="paragraph">
            <wp:posOffset>129540</wp:posOffset>
          </wp:positionV>
          <wp:extent cx="390525" cy="390525"/>
          <wp:effectExtent l="0" t="0" r="9525" b="9525"/>
          <wp:wrapSquare wrapText="bothSides"/>
          <wp:docPr id="683" name="Imagen 683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78720" behindDoc="0" locked="0" layoutInCell="1" allowOverlap="1" wp14:anchorId="601350AA" wp14:editId="600A7A26">
          <wp:simplePos x="0" y="0"/>
          <wp:positionH relativeFrom="margin">
            <wp:posOffset>1319530</wp:posOffset>
          </wp:positionH>
          <wp:positionV relativeFrom="paragraph">
            <wp:posOffset>95885</wp:posOffset>
          </wp:positionV>
          <wp:extent cx="434340" cy="434340"/>
          <wp:effectExtent l="0" t="0" r="3810" b="3810"/>
          <wp:wrapSquare wrapText="bothSides"/>
          <wp:docPr id="68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80768" behindDoc="0" locked="0" layoutInCell="1" allowOverlap="1" wp14:anchorId="0E00BD16" wp14:editId="4D62BDAC">
          <wp:simplePos x="0" y="0"/>
          <wp:positionH relativeFrom="margin">
            <wp:posOffset>2456815</wp:posOffset>
          </wp:positionH>
          <wp:positionV relativeFrom="paragraph">
            <wp:posOffset>97155</wp:posOffset>
          </wp:positionV>
          <wp:extent cx="414020" cy="464820"/>
          <wp:effectExtent l="0" t="0" r="5080" b="0"/>
          <wp:wrapSquare wrapText="bothSides"/>
          <wp:docPr id="685" name="Imagen 685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1530" w:rsidRDefault="003B1530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722EF2" w:rsidP="00C26D28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11994215" wp14:editId="3F88DF3E">
              <wp:simplePos x="0" y="0"/>
              <wp:positionH relativeFrom="margin">
                <wp:posOffset>-130810</wp:posOffset>
              </wp:positionH>
              <wp:positionV relativeFrom="paragraph">
                <wp:posOffset>544830</wp:posOffset>
              </wp:positionV>
              <wp:extent cx="5494020" cy="668020"/>
              <wp:effectExtent l="0" t="0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Ave.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Educación Superior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Benito Juárez,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Uriangato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38980</w:t>
                          </w:r>
                        </w:p>
                        <w:p w:rsidR="003B1530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(445) 45 7 74 68 al 71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*118, e-mail: planeacion@itsur.edu.mx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3B1530" w:rsidRPr="006F2837" w:rsidRDefault="003B1530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its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ur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:rsidR="003B1530" w:rsidRPr="006F2837" w:rsidRDefault="003B1530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994215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10.3pt;margin-top:42.9pt;width:432.6pt;height:52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" filled="f" stroked="f">
              <v:textbox>
                <w:txbxContent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Ave.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Educación Superior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Benito Juárez,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Uriangato</w:t>
                    </w:r>
                    <w:proofErr w:type="spellEnd"/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38980</w:t>
                    </w:r>
                  </w:p>
                  <w:p w:rsidR="003B1530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(445) 45 7 74 68 al 71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*118, e-mail: planeacion@itsur.edu.mx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:rsidR="003B1530" w:rsidRPr="006F2837" w:rsidRDefault="003B1530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its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ur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:rsidR="003B1530" w:rsidRPr="006F2837" w:rsidRDefault="003B1530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1008" behindDoc="1" locked="0" layoutInCell="1" allowOverlap="1" wp14:anchorId="78675FB2" wp14:editId="30CF2E12">
          <wp:simplePos x="0" y="0"/>
          <wp:positionH relativeFrom="margin">
            <wp:posOffset>421005</wp:posOffset>
          </wp:positionH>
          <wp:positionV relativeFrom="paragraph">
            <wp:posOffset>139700</wp:posOffset>
          </wp:positionV>
          <wp:extent cx="669290" cy="395605"/>
          <wp:effectExtent l="0" t="0" r="0" b="4445"/>
          <wp:wrapNone/>
          <wp:docPr id="673" name="Imagen 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5104" behindDoc="0" locked="0" layoutInCell="1" allowOverlap="1" wp14:anchorId="1B1F8D3C" wp14:editId="247A06E6">
          <wp:simplePos x="0" y="0"/>
          <wp:positionH relativeFrom="column">
            <wp:posOffset>1565275</wp:posOffset>
          </wp:positionH>
          <wp:positionV relativeFrom="paragraph">
            <wp:posOffset>139065</wp:posOffset>
          </wp:positionV>
          <wp:extent cx="390525" cy="390525"/>
          <wp:effectExtent l="0" t="0" r="9525" b="9525"/>
          <wp:wrapSquare wrapText="bothSides"/>
          <wp:docPr id="675" name="Imagen 675" descr="INR logo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R logo cop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4080" behindDoc="0" locked="0" layoutInCell="1" allowOverlap="1" wp14:anchorId="53D8CC07" wp14:editId="3F181D0F">
          <wp:simplePos x="0" y="0"/>
          <wp:positionH relativeFrom="margin">
            <wp:posOffset>-42545</wp:posOffset>
          </wp:positionH>
          <wp:positionV relativeFrom="paragraph">
            <wp:posOffset>105410</wp:posOffset>
          </wp:positionV>
          <wp:extent cx="434340" cy="434340"/>
          <wp:effectExtent l="0" t="0" r="3810" b="3810"/>
          <wp:wrapSquare wrapText="bothSides"/>
          <wp:docPr id="67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0B5D">
      <w:rPr>
        <w:noProof/>
        <w:lang w:val="en-US" w:eastAsia="en-US"/>
      </w:rPr>
      <w:drawing>
        <wp:anchor distT="0" distB="0" distL="114300" distR="114300" simplePos="0" relativeHeight="251696128" behindDoc="0" locked="0" layoutInCell="1" allowOverlap="1" wp14:anchorId="525233FA" wp14:editId="36A0DA05">
          <wp:simplePos x="0" y="0"/>
          <wp:positionH relativeFrom="margin">
            <wp:posOffset>1094740</wp:posOffset>
          </wp:positionH>
          <wp:positionV relativeFrom="paragraph">
            <wp:posOffset>106680</wp:posOffset>
          </wp:positionV>
          <wp:extent cx="414020" cy="464820"/>
          <wp:effectExtent l="0" t="0" r="5080" b="0"/>
          <wp:wrapSquare wrapText="bothSides"/>
          <wp:docPr id="677" name="Imagen 677" descr="C:\Users\Residencias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sidencias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1530" w:rsidRDefault="003B1530" w:rsidP="00C26D2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:rsidR="003B1530" w:rsidRDefault="00722EF2" w:rsidP="00C26D28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93056" behindDoc="1" locked="0" layoutInCell="1" allowOverlap="1" wp14:anchorId="63C2840E" wp14:editId="3850ECC5">
          <wp:simplePos x="0" y="0"/>
          <wp:positionH relativeFrom="margin">
            <wp:posOffset>-201930</wp:posOffset>
          </wp:positionH>
          <wp:positionV relativeFrom="paragraph">
            <wp:posOffset>184150</wp:posOffset>
          </wp:positionV>
          <wp:extent cx="6431280" cy="763270"/>
          <wp:effectExtent l="0" t="0" r="0" b="0"/>
          <wp:wrapNone/>
          <wp:docPr id="674" name="Imagen 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B1530" w:rsidRDefault="003B1530" w:rsidP="00C26D28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8EC" w:rsidRDefault="005368EC">
      <w:r>
        <w:separator/>
      </w:r>
    </w:p>
  </w:footnote>
  <w:footnote w:type="continuationSeparator" w:id="0">
    <w:p w:rsidR="005368EC" w:rsidRDefault="00536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3B153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3672205</wp:posOffset>
          </wp:positionH>
          <wp:positionV relativeFrom="paragraph">
            <wp:posOffset>-1474470</wp:posOffset>
          </wp:positionV>
          <wp:extent cx="430530" cy="430530"/>
          <wp:effectExtent l="0" t="0" r="7620" b="7620"/>
          <wp:wrapSquare wrapText="bothSides"/>
          <wp:docPr id="16" name="Imagen 16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E49984E" wp14:editId="08649F90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530" w:rsidRDefault="003B1530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3B1530" w:rsidRDefault="003B1530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FO-POA-Rev 01 20-01-2022</w:t>
                          </w:r>
                        </w:p>
                        <w:p w:rsidR="003B1530" w:rsidRPr="00A44E22" w:rsidRDefault="003B1530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3B1530" w:rsidRPr="00820EA8" w:rsidRDefault="003B1530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3B1530" w:rsidRDefault="003B1530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998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IJOJBDh&#10;AAAADAEAAA8AAAAAAAAAAAAAAAAADgUAAGRycy9kb3ducmV2LnhtbFBLBQYAAAAABAAEAPMAAAAc&#10;BgAAAAA=&#10;" filled="f" stroked="f">
              <v:textbox>
                <w:txbxContent>
                  <w:p w:rsidR="003B1530" w:rsidRDefault="003B1530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3B1530" w:rsidRDefault="003B1530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FO-POA-</w:t>
                    </w:r>
                    <w:proofErr w:type="spellStart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Rev</w:t>
                    </w:r>
                    <w:proofErr w:type="spellEnd"/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01 20-01-2022</w:t>
                    </w:r>
                  </w:p>
                  <w:p w:rsidR="003B1530" w:rsidRPr="00A44E22" w:rsidRDefault="003B1530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3B1530" w:rsidRPr="00820EA8" w:rsidRDefault="003B1530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3B1530" w:rsidRDefault="003B1530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2719B135" wp14:editId="1FB0060A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3B153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5B442CF" wp14:editId="2F73C901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530" w:rsidRDefault="003B1530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3B1530" w:rsidRPr="00A44E22" w:rsidRDefault="003B1530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3B1530" w:rsidRPr="00820EA8" w:rsidRDefault="003B1530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3B1530" w:rsidRDefault="003B1530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442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4.05pt;margin-top:-5.25pt;width:335.25pt;height:18.2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v8ug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" filled="f" stroked="f">
              <v:textbox>
                <w:txbxContent>
                  <w:p w:rsidR="003B1530" w:rsidRDefault="003B1530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3B1530" w:rsidRPr="00A44E22" w:rsidRDefault="003B1530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3B1530" w:rsidRPr="00820EA8" w:rsidRDefault="003B1530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3B1530" w:rsidRDefault="003B1530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84864" behindDoc="0" locked="0" layoutInCell="1" allowOverlap="1" wp14:anchorId="21EAC710" wp14:editId="46E36CFB">
          <wp:simplePos x="0" y="0"/>
          <wp:positionH relativeFrom="column">
            <wp:posOffset>3719195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679" name="Imagen 679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3840" behindDoc="1" locked="0" layoutInCell="1" allowOverlap="1" wp14:anchorId="393B9AA5" wp14:editId="3EA86BB5">
          <wp:simplePos x="0" y="0"/>
          <wp:positionH relativeFrom="margin">
            <wp:posOffset>0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680" name="Imagen 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530" w:rsidRDefault="00722EF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88960" behindDoc="0" locked="0" layoutInCell="1" allowOverlap="1" wp14:anchorId="108CB576" wp14:editId="011A399A">
          <wp:simplePos x="0" y="0"/>
          <wp:positionH relativeFrom="column">
            <wp:posOffset>4262120</wp:posOffset>
          </wp:positionH>
          <wp:positionV relativeFrom="paragraph">
            <wp:posOffset>-570865</wp:posOffset>
          </wp:positionV>
          <wp:extent cx="430530" cy="430530"/>
          <wp:effectExtent l="0" t="0" r="7620" b="7620"/>
          <wp:wrapSquare wrapText="bothSides"/>
          <wp:docPr id="31" name="Imagen 31" descr="Logo G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" cy="430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87936" behindDoc="1" locked="0" layoutInCell="1" allowOverlap="1" wp14:anchorId="11CCDC0B" wp14:editId="7B225D39">
          <wp:simplePos x="0" y="0"/>
          <wp:positionH relativeFrom="margin">
            <wp:posOffset>542925</wp:posOffset>
          </wp:positionH>
          <wp:positionV relativeFrom="paragraph">
            <wp:posOffset>-591185</wp:posOffset>
          </wp:positionV>
          <wp:extent cx="3677920" cy="426720"/>
          <wp:effectExtent l="0" t="0" r="0" b="0"/>
          <wp:wrapNone/>
          <wp:docPr id="672" name="Imagen 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7920" cy="426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530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6B55227" wp14:editId="751D5BEF">
              <wp:simplePos x="0" y="0"/>
              <wp:positionH relativeFrom="margin">
                <wp:align>right</wp:align>
              </wp:positionH>
              <wp:positionV relativeFrom="paragraph">
                <wp:posOffset>-66675</wp:posOffset>
              </wp:positionV>
              <wp:extent cx="4257675" cy="23114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1530" w:rsidRDefault="003B1530" w:rsidP="00EF7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l Sur de Guanajuato</w:t>
                          </w:r>
                        </w:p>
                        <w:p w:rsidR="003B1530" w:rsidRPr="00A44E22" w:rsidRDefault="003B1530" w:rsidP="00EF76A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3B1530" w:rsidRPr="00820EA8" w:rsidRDefault="003B1530" w:rsidP="00EF76A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3B1530" w:rsidRDefault="003B1530" w:rsidP="00EF76A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B552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4.05pt;margin-top:-5.25pt;width:335.25pt;height:18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Vuug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" filled="f" stroked="f">
              <v:textbox>
                <w:txbxContent>
                  <w:p w:rsidR="003B1530" w:rsidRDefault="003B1530" w:rsidP="00EF7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 Superior de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l Sur de Guanajuato</w:t>
                    </w:r>
                  </w:p>
                  <w:p w:rsidR="003B1530" w:rsidRPr="00A44E22" w:rsidRDefault="003B1530" w:rsidP="00EF76A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3B1530" w:rsidRPr="00820EA8" w:rsidRDefault="003B1530" w:rsidP="00EF76A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3B1530" w:rsidRDefault="003B1530" w:rsidP="00EF76AB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7A7F"/>
    <w:multiLevelType w:val="hybridMultilevel"/>
    <w:tmpl w:val="773A5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33180"/>
    <w:multiLevelType w:val="hybridMultilevel"/>
    <w:tmpl w:val="8490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460AB"/>
    <w:multiLevelType w:val="hybridMultilevel"/>
    <w:tmpl w:val="2EE0B972"/>
    <w:lvl w:ilvl="0" w:tplc="080A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B1316"/>
    <w:multiLevelType w:val="hybridMultilevel"/>
    <w:tmpl w:val="E9EE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B7B"/>
    <w:rsid w:val="000135B3"/>
    <w:rsid w:val="00021431"/>
    <w:rsid w:val="00023FB4"/>
    <w:rsid w:val="00031989"/>
    <w:rsid w:val="00033D42"/>
    <w:rsid w:val="00037208"/>
    <w:rsid w:val="000449CD"/>
    <w:rsid w:val="000501B8"/>
    <w:rsid w:val="00050487"/>
    <w:rsid w:val="00051B86"/>
    <w:rsid w:val="00056CF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2347"/>
    <w:rsid w:val="00125DAB"/>
    <w:rsid w:val="001306B6"/>
    <w:rsid w:val="00133587"/>
    <w:rsid w:val="001404C1"/>
    <w:rsid w:val="001439A6"/>
    <w:rsid w:val="00144755"/>
    <w:rsid w:val="0015712F"/>
    <w:rsid w:val="00162408"/>
    <w:rsid w:val="00166392"/>
    <w:rsid w:val="00166674"/>
    <w:rsid w:val="00166934"/>
    <w:rsid w:val="00171064"/>
    <w:rsid w:val="00171F4A"/>
    <w:rsid w:val="0017221C"/>
    <w:rsid w:val="0017498D"/>
    <w:rsid w:val="001766A3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D83"/>
    <w:rsid w:val="001F0FB6"/>
    <w:rsid w:val="001F15E0"/>
    <w:rsid w:val="001F1974"/>
    <w:rsid w:val="001F561C"/>
    <w:rsid w:val="001F5795"/>
    <w:rsid w:val="00207DCF"/>
    <w:rsid w:val="00216257"/>
    <w:rsid w:val="00221969"/>
    <w:rsid w:val="00234F2A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6596"/>
    <w:rsid w:val="002A46AB"/>
    <w:rsid w:val="002B3BC1"/>
    <w:rsid w:val="002B3EB4"/>
    <w:rsid w:val="002B430E"/>
    <w:rsid w:val="002C0A37"/>
    <w:rsid w:val="002C3D27"/>
    <w:rsid w:val="002C5339"/>
    <w:rsid w:val="002C6218"/>
    <w:rsid w:val="002D0B5D"/>
    <w:rsid w:val="002D2A81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3843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0504"/>
    <w:rsid w:val="003927EA"/>
    <w:rsid w:val="00392DE2"/>
    <w:rsid w:val="00397322"/>
    <w:rsid w:val="003A2351"/>
    <w:rsid w:val="003B1530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0458"/>
    <w:rsid w:val="0044461E"/>
    <w:rsid w:val="00445CA1"/>
    <w:rsid w:val="004465D1"/>
    <w:rsid w:val="0045125E"/>
    <w:rsid w:val="00453263"/>
    <w:rsid w:val="00457687"/>
    <w:rsid w:val="004611E9"/>
    <w:rsid w:val="00462822"/>
    <w:rsid w:val="00465B93"/>
    <w:rsid w:val="00466D32"/>
    <w:rsid w:val="00472B8B"/>
    <w:rsid w:val="00473E58"/>
    <w:rsid w:val="004740D7"/>
    <w:rsid w:val="004754B0"/>
    <w:rsid w:val="004852B4"/>
    <w:rsid w:val="004902EE"/>
    <w:rsid w:val="00492C98"/>
    <w:rsid w:val="004A6537"/>
    <w:rsid w:val="004B4884"/>
    <w:rsid w:val="004B7915"/>
    <w:rsid w:val="004C4007"/>
    <w:rsid w:val="004D0D97"/>
    <w:rsid w:val="004D1822"/>
    <w:rsid w:val="004D239E"/>
    <w:rsid w:val="004D3195"/>
    <w:rsid w:val="004D795A"/>
    <w:rsid w:val="004F14D6"/>
    <w:rsid w:val="004F5C91"/>
    <w:rsid w:val="004F6D38"/>
    <w:rsid w:val="005123E7"/>
    <w:rsid w:val="00522611"/>
    <w:rsid w:val="0052280B"/>
    <w:rsid w:val="00527AED"/>
    <w:rsid w:val="00532C5A"/>
    <w:rsid w:val="00533C26"/>
    <w:rsid w:val="00533CE3"/>
    <w:rsid w:val="005368EC"/>
    <w:rsid w:val="00545E4F"/>
    <w:rsid w:val="005501E5"/>
    <w:rsid w:val="00555EE2"/>
    <w:rsid w:val="005609BD"/>
    <w:rsid w:val="005636B8"/>
    <w:rsid w:val="00564AA1"/>
    <w:rsid w:val="005720C6"/>
    <w:rsid w:val="00572482"/>
    <w:rsid w:val="00574833"/>
    <w:rsid w:val="00576550"/>
    <w:rsid w:val="005800FB"/>
    <w:rsid w:val="0058697E"/>
    <w:rsid w:val="00593C63"/>
    <w:rsid w:val="00594D2F"/>
    <w:rsid w:val="005A006E"/>
    <w:rsid w:val="005A1D52"/>
    <w:rsid w:val="005A3E40"/>
    <w:rsid w:val="005A7AA3"/>
    <w:rsid w:val="005B4EBC"/>
    <w:rsid w:val="005C1A68"/>
    <w:rsid w:val="005C6EE7"/>
    <w:rsid w:val="005D1435"/>
    <w:rsid w:val="005D5342"/>
    <w:rsid w:val="005D5CE6"/>
    <w:rsid w:val="005E2895"/>
    <w:rsid w:val="005F4D0C"/>
    <w:rsid w:val="00605110"/>
    <w:rsid w:val="006069B3"/>
    <w:rsid w:val="0061141F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7749"/>
    <w:rsid w:val="00660C05"/>
    <w:rsid w:val="00663228"/>
    <w:rsid w:val="0066597E"/>
    <w:rsid w:val="006675AC"/>
    <w:rsid w:val="00671060"/>
    <w:rsid w:val="006803E9"/>
    <w:rsid w:val="0068056B"/>
    <w:rsid w:val="00682801"/>
    <w:rsid w:val="00691115"/>
    <w:rsid w:val="00691263"/>
    <w:rsid w:val="006A05D6"/>
    <w:rsid w:val="006A1785"/>
    <w:rsid w:val="006B104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2EF2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2B5A"/>
    <w:rsid w:val="00773D7C"/>
    <w:rsid w:val="00780267"/>
    <w:rsid w:val="00782033"/>
    <w:rsid w:val="007838DE"/>
    <w:rsid w:val="007856E5"/>
    <w:rsid w:val="00787AB0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0659"/>
    <w:rsid w:val="007E2681"/>
    <w:rsid w:val="007E2FC2"/>
    <w:rsid w:val="007E32A8"/>
    <w:rsid w:val="007F06BF"/>
    <w:rsid w:val="007F22F5"/>
    <w:rsid w:val="007F61AB"/>
    <w:rsid w:val="0080034D"/>
    <w:rsid w:val="0080739D"/>
    <w:rsid w:val="00807990"/>
    <w:rsid w:val="00807EEE"/>
    <w:rsid w:val="008139D0"/>
    <w:rsid w:val="00817B31"/>
    <w:rsid w:val="00820E4B"/>
    <w:rsid w:val="00820EA8"/>
    <w:rsid w:val="0082209B"/>
    <w:rsid w:val="00822951"/>
    <w:rsid w:val="00825947"/>
    <w:rsid w:val="008271ED"/>
    <w:rsid w:val="00832378"/>
    <w:rsid w:val="00832674"/>
    <w:rsid w:val="008339C6"/>
    <w:rsid w:val="0083421E"/>
    <w:rsid w:val="0085034D"/>
    <w:rsid w:val="00852B92"/>
    <w:rsid w:val="00856EE8"/>
    <w:rsid w:val="0086036E"/>
    <w:rsid w:val="00882D0A"/>
    <w:rsid w:val="00893D0C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4F8B"/>
    <w:rsid w:val="008E51C5"/>
    <w:rsid w:val="008F3B5C"/>
    <w:rsid w:val="008F5FCA"/>
    <w:rsid w:val="009010D8"/>
    <w:rsid w:val="009026F8"/>
    <w:rsid w:val="009034F5"/>
    <w:rsid w:val="00905B1D"/>
    <w:rsid w:val="00912D3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0E5"/>
    <w:rsid w:val="00A63CAE"/>
    <w:rsid w:val="00A751D2"/>
    <w:rsid w:val="00A75E62"/>
    <w:rsid w:val="00A77287"/>
    <w:rsid w:val="00A81872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4E25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B6BD0"/>
    <w:rsid w:val="00BC0BB1"/>
    <w:rsid w:val="00BC3377"/>
    <w:rsid w:val="00BD7811"/>
    <w:rsid w:val="00BE6FA2"/>
    <w:rsid w:val="00BF6058"/>
    <w:rsid w:val="00BF67AF"/>
    <w:rsid w:val="00C00380"/>
    <w:rsid w:val="00C05DFD"/>
    <w:rsid w:val="00C06416"/>
    <w:rsid w:val="00C10A5B"/>
    <w:rsid w:val="00C120F4"/>
    <w:rsid w:val="00C249D1"/>
    <w:rsid w:val="00C268BA"/>
    <w:rsid w:val="00C26D28"/>
    <w:rsid w:val="00C275A4"/>
    <w:rsid w:val="00C30202"/>
    <w:rsid w:val="00C30F1F"/>
    <w:rsid w:val="00C33253"/>
    <w:rsid w:val="00C41A99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20D2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511"/>
    <w:rsid w:val="00D626B1"/>
    <w:rsid w:val="00D71DF0"/>
    <w:rsid w:val="00D72407"/>
    <w:rsid w:val="00D72A47"/>
    <w:rsid w:val="00D72F3B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933"/>
    <w:rsid w:val="00DE44FF"/>
    <w:rsid w:val="00DE4678"/>
    <w:rsid w:val="00DF0D8C"/>
    <w:rsid w:val="00DF4FEA"/>
    <w:rsid w:val="00DF57C2"/>
    <w:rsid w:val="00DF7981"/>
    <w:rsid w:val="00E00249"/>
    <w:rsid w:val="00E0143C"/>
    <w:rsid w:val="00E0299D"/>
    <w:rsid w:val="00E05982"/>
    <w:rsid w:val="00E07027"/>
    <w:rsid w:val="00E10B21"/>
    <w:rsid w:val="00E22095"/>
    <w:rsid w:val="00E23AD3"/>
    <w:rsid w:val="00E2752C"/>
    <w:rsid w:val="00E3556E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8EC"/>
    <w:rsid w:val="00E92EB7"/>
    <w:rsid w:val="00E946D1"/>
    <w:rsid w:val="00E956AC"/>
    <w:rsid w:val="00EA3E1B"/>
    <w:rsid w:val="00EA7100"/>
    <w:rsid w:val="00EB0D0A"/>
    <w:rsid w:val="00EB5267"/>
    <w:rsid w:val="00EC1C37"/>
    <w:rsid w:val="00EC482D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EF76AB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F5308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1F0D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630E5"/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uentedeprrafopredeter"/>
    <w:rsid w:val="002D2A81"/>
  </w:style>
  <w:style w:type="character" w:customStyle="1" w:styleId="Ttulo2Car">
    <w:name w:val="Título 2 Car"/>
    <w:basedOn w:val="Fuentedeprrafopredeter"/>
    <w:link w:val="Ttulo2"/>
    <w:semiHidden/>
    <w:rsid w:val="001F0D8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5" Type="http://schemas.openxmlformats.org/officeDocument/2006/relationships/image" Target="media/image3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7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B5509-AE32-4DFC-8724-8D9DD758B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5607</Words>
  <Characters>31966</Characters>
  <Application>Microsoft Office Word</Application>
  <DocSecurity>0</DocSecurity>
  <Lines>266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37499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ITSUR</cp:lastModifiedBy>
  <cp:revision>12</cp:revision>
  <cp:lastPrinted>2022-01-15T01:44:00Z</cp:lastPrinted>
  <dcterms:created xsi:type="dcterms:W3CDTF">2022-02-10T22:53:00Z</dcterms:created>
  <dcterms:modified xsi:type="dcterms:W3CDTF">2022-02-14T21:31:00Z</dcterms:modified>
</cp:coreProperties>
</file>