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6EDC" w:rsidRPr="00F7241A" w:rsidRDefault="00BC22EB" w:rsidP="00786EDC">
      <w:pPr>
        <w:rPr>
          <w:rFonts w:ascii="Arial" w:hAnsi="Arial" w:cs="Arial"/>
          <w:b/>
          <w:color w:val="17365D" w:themeColor="text2" w:themeShade="BF"/>
          <w:sz w:val="20"/>
          <w:szCs w:val="20"/>
        </w:rPr>
      </w:pPr>
      <w:r>
        <w:fldChar w:fldCharType="begin"/>
      </w:r>
      <w:r>
        <w:instrText xml:space="preserve"> HYPERLINK "file:///E:\\lquiroz\\AppData\\Local\\Microsoft\\Windows\\Temporary%20Internet%20Files\\Content.Outlook\\HBGSO9P3\\MODELO%20CTA%202013.pptx" </w:instrText>
      </w:r>
      <w:r>
        <w:fldChar w:fldCharType="separate"/>
      </w:r>
      <w:r w:rsidR="00786EDC" w:rsidRPr="00F7241A">
        <w:rPr>
          <w:rStyle w:val="Hipervnculo"/>
          <w:rFonts w:ascii="Arial" w:hAnsi="Arial" w:cs="Arial"/>
          <w:b/>
          <w:color w:val="17365D" w:themeColor="text2" w:themeShade="BF"/>
          <w:sz w:val="20"/>
          <w:szCs w:val="20"/>
          <w:u w:val="none"/>
        </w:rPr>
        <w:t>NOTAS DE GESTIÓN ADMINISTRATIVA</w:t>
      </w:r>
      <w:r>
        <w:rPr>
          <w:rStyle w:val="Hipervnculo"/>
          <w:rFonts w:ascii="Arial" w:hAnsi="Arial" w:cs="Arial"/>
          <w:b/>
          <w:color w:val="17365D" w:themeColor="text2" w:themeShade="BF"/>
          <w:sz w:val="20"/>
          <w:szCs w:val="20"/>
          <w:u w:val="none"/>
        </w:rPr>
        <w:fldChar w:fldCharType="end"/>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255B45"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255B45"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w:t>
      </w:r>
      <w:r w:rsidR="00ED707B" w:rsidRPr="003B15B7">
        <w:rPr>
          <w:rFonts w:ascii="Arial" w:hAnsi="Arial" w:cs="Arial"/>
          <w:sz w:val="20"/>
          <w:szCs w:val="20"/>
          <w:u w:val="single"/>
        </w:rPr>
        <w:t xml:space="preserve">Actualmente ofrece las carreras de </w:t>
      </w:r>
      <w:r w:rsidR="00ED707B" w:rsidRPr="0099131C">
        <w:rPr>
          <w:rFonts w:ascii="Arial" w:hAnsi="Arial" w:cs="Arial"/>
          <w:sz w:val="20"/>
          <w:szCs w:val="20"/>
          <w:u w:val="single"/>
        </w:rPr>
        <w:t xml:space="preserve">Ing. Ambiental, Ing. en Sistemas </w:t>
      </w:r>
      <w:r w:rsidR="00255B45" w:rsidRPr="0099131C">
        <w:rPr>
          <w:rFonts w:ascii="Arial" w:hAnsi="Arial" w:cs="Arial"/>
          <w:sz w:val="20"/>
          <w:szCs w:val="20"/>
          <w:u w:val="single"/>
        </w:rPr>
        <w:t>Computacionales, Ing.</w:t>
      </w:r>
      <w:r w:rsidR="00ED707B" w:rsidRPr="0099131C">
        <w:rPr>
          <w:rFonts w:ascii="Arial" w:hAnsi="Arial" w:cs="Arial"/>
          <w:sz w:val="20"/>
          <w:szCs w:val="20"/>
          <w:u w:val="single"/>
        </w:rPr>
        <w:t xml:space="preserve"> </w:t>
      </w:r>
      <w:r w:rsidR="0099131C" w:rsidRPr="0099131C">
        <w:rPr>
          <w:rFonts w:ascii="Arial" w:hAnsi="Arial" w:cs="Arial"/>
          <w:sz w:val="20"/>
          <w:szCs w:val="20"/>
          <w:u w:val="single"/>
        </w:rPr>
        <w:t>en Sistemas Automotrices,</w:t>
      </w:r>
      <w:r w:rsidR="00ED707B" w:rsidRPr="0099131C">
        <w:rPr>
          <w:rFonts w:ascii="Arial" w:hAnsi="Arial" w:cs="Arial"/>
          <w:sz w:val="20"/>
          <w:szCs w:val="20"/>
          <w:u w:val="single"/>
        </w:rPr>
        <w:t xml:space="preserve"> Ing. Industrial, Ing. </w:t>
      </w:r>
      <w:r w:rsidR="00255B45" w:rsidRPr="0099131C">
        <w:rPr>
          <w:rFonts w:ascii="Arial" w:hAnsi="Arial" w:cs="Arial"/>
          <w:sz w:val="20"/>
          <w:szCs w:val="20"/>
          <w:u w:val="single"/>
        </w:rPr>
        <w:t>Electrónica, Ing.</w:t>
      </w:r>
      <w:r w:rsidR="00ED707B" w:rsidRPr="0099131C">
        <w:rPr>
          <w:rFonts w:ascii="Arial" w:hAnsi="Arial" w:cs="Arial"/>
          <w:sz w:val="20"/>
          <w:szCs w:val="20"/>
          <w:u w:val="single"/>
        </w:rPr>
        <w:t xml:space="preserve"> en Gestión Empresarial y Lic. En Gastronomía. También cuenta con un Centro de Idiomas</w:t>
      </w:r>
      <w:r w:rsidR="001B22A3">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255B45"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255B45"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w:t>
      </w:r>
      <w:r w:rsidR="00255B45"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w:t>
      </w:r>
      <w:r w:rsidR="00011A26" w:rsidRPr="00905023">
        <w:rPr>
          <w:rFonts w:ascii="Arial" w:hAnsi="Arial" w:cs="Arial"/>
          <w:sz w:val="20"/>
          <w:szCs w:val="20"/>
          <w:u w:val="single"/>
        </w:rPr>
        <w:t>como a</w:t>
      </w:r>
      <w:r w:rsidRPr="00905023">
        <w:rPr>
          <w:rFonts w:ascii="Arial" w:hAnsi="Arial" w:cs="Arial"/>
          <w:sz w:val="20"/>
          <w:szCs w:val="20"/>
          <w:u w:val="single"/>
        </w:rPr>
        <w:t xml:space="preserve">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w:t>
      </w:r>
      <w:r w:rsidR="001B2628" w:rsidRPr="003B15B7">
        <w:rPr>
          <w:rFonts w:ascii="Arial" w:hAnsi="Arial" w:cs="Arial"/>
          <w:sz w:val="20"/>
          <w:szCs w:val="20"/>
          <w:u w:val="single"/>
        </w:rPr>
        <w:t>enero</w:t>
      </w:r>
      <w:r w:rsidRPr="003B15B7">
        <w:rPr>
          <w:rFonts w:ascii="Arial" w:hAnsi="Arial" w:cs="Arial"/>
          <w:sz w:val="20"/>
          <w:szCs w:val="20"/>
          <w:u w:val="single"/>
        </w:rPr>
        <w:t xml:space="preserve"> a </w:t>
      </w:r>
      <w:r w:rsidR="001B2628" w:rsidRPr="003B15B7">
        <w:rPr>
          <w:rFonts w:ascii="Arial" w:hAnsi="Arial" w:cs="Arial"/>
          <w:sz w:val="20"/>
          <w:szCs w:val="20"/>
          <w:u w:val="single"/>
        </w:rPr>
        <w:t>diciembre</w:t>
      </w:r>
      <w:r w:rsidRPr="003B15B7">
        <w:rPr>
          <w:rFonts w:ascii="Arial" w:hAnsi="Arial" w:cs="Arial"/>
          <w:sz w:val="20"/>
          <w:szCs w:val="20"/>
          <w:u w:val="single"/>
        </w:rPr>
        <w:t xml:space="preserve"> 20</w:t>
      </w:r>
      <w:r w:rsidR="001B22A3">
        <w:rPr>
          <w:rFonts w:ascii="Arial" w:hAnsi="Arial" w:cs="Arial"/>
          <w:sz w:val="20"/>
          <w:szCs w:val="20"/>
          <w:u w:val="single"/>
        </w:rPr>
        <w:t>20</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81470B" w:rsidP="00786EDC">
      <w:pPr>
        <w:jc w:val="both"/>
        <w:rPr>
          <w:rFonts w:ascii="Arial" w:hAnsi="Arial" w:cs="Arial"/>
          <w:sz w:val="20"/>
          <w:szCs w:val="20"/>
        </w:rPr>
      </w:pPr>
      <w:r>
        <w:rPr>
          <w:noProof/>
          <w:lang w:val="es-MX" w:eastAsia="es-MX"/>
        </w:rPr>
        <w:drawing>
          <wp:inline distT="0" distB="0" distL="0" distR="0" wp14:anchorId="25525C3B" wp14:editId="39C0BD1F">
            <wp:extent cx="7138988" cy="5274050"/>
            <wp:effectExtent l="0" t="0" r="508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922" t="11204" r="19540" b="6658"/>
                    <a:stretch/>
                  </pic:blipFill>
                  <pic:spPr bwMode="auto">
                    <a:xfrm>
                      <a:off x="0" y="0"/>
                      <a:ext cx="7178416" cy="5303178"/>
                    </a:xfrm>
                    <a:prstGeom prst="rect">
                      <a:avLst/>
                    </a:prstGeom>
                    <a:ln>
                      <a:noFill/>
                    </a:ln>
                    <a:extLst>
                      <a:ext uri="{53640926-AAD7-44D8-BBD7-CCE9431645EC}">
                        <a14:shadowObscured xmlns:a14="http://schemas.microsoft.com/office/drawing/2010/main"/>
                      </a:ext>
                    </a:extLst>
                  </pic:spPr>
                </pic:pic>
              </a:graphicData>
            </a:graphic>
          </wp:inline>
        </w:drawing>
      </w:r>
    </w:p>
    <w:p w:rsidR="00786EDC" w:rsidRDefault="00786EDC" w:rsidP="00786EDC">
      <w:pPr>
        <w:jc w:val="both"/>
        <w:rPr>
          <w:rFonts w:ascii="Arial" w:hAnsi="Arial" w:cs="Arial"/>
          <w:sz w:val="20"/>
          <w:szCs w:val="20"/>
        </w:rPr>
      </w:pPr>
    </w:p>
    <w:p w:rsidR="0081470B" w:rsidRDefault="0081470B"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Los Estados Financieros se realizan en base y cumplimiento a la normatividad emitida por la Ley General de Contabilidad Gubernamental</w:t>
      </w:r>
      <w:r w:rsidR="006E09AB">
        <w:rPr>
          <w:rFonts w:ascii="Arial" w:hAnsi="Arial" w:cs="Arial"/>
          <w:sz w:val="20"/>
          <w:szCs w:val="20"/>
          <w:u w:val="single"/>
        </w:rPr>
        <w:t>, sus postulados básicos y las leyes aplicables en la materia y los lineamientos emitidos por el Consejo Nacional de Armonización Contable.</w:t>
      </w:r>
      <w:r>
        <w:rPr>
          <w:rFonts w:ascii="Arial" w:hAnsi="Arial" w:cs="Arial"/>
          <w:sz w:val="20"/>
          <w:szCs w:val="20"/>
          <w:u w:val="single"/>
        </w:rPr>
        <w:t xml:space="preserve">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w:t>
      </w:r>
      <w:r w:rsidR="00255B45"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255B45" w:rsidRPr="003B15B7">
        <w:rPr>
          <w:rFonts w:ascii="Arial" w:hAnsi="Arial" w:cs="Arial"/>
          <w:sz w:val="20"/>
          <w:szCs w:val="20"/>
          <w:u w:val="single"/>
        </w:rPr>
        <w:t>las normas emitidas</w:t>
      </w:r>
      <w:r w:rsidRPr="003B15B7">
        <w:rPr>
          <w:rFonts w:ascii="Arial" w:hAnsi="Arial" w:cs="Arial"/>
          <w:sz w:val="20"/>
          <w:szCs w:val="20"/>
          <w:u w:val="single"/>
        </w:rPr>
        <w:t xml:space="preserve">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Las Bases de Preparación de los Estados Financieros observan </w:t>
      </w:r>
      <w:r w:rsidR="00AD1201">
        <w:rPr>
          <w:rFonts w:ascii="Arial" w:hAnsi="Arial" w:cs="Arial"/>
          <w:sz w:val="20"/>
          <w:szCs w:val="20"/>
          <w:u w:val="single"/>
        </w:rPr>
        <w:t xml:space="preserve">en </w:t>
      </w:r>
      <w:r w:rsidRPr="003B15B7">
        <w:rPr>
          <w:rFonts w:ascii="Arial" w:hAnsi="Arial" w:cs="Arial"/>
          <w:sz w:val="20"/>
          <w:szCs w:val="20"/>
          <w:u w:val="single"/>
        </w:rPr>
        <w:t>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1470B" w:rsidRDefault="0081470B"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w:t>
      </w:r>
      <w:r w:rsidR="00255B45" w:rsidRPr="003B15B7">
        <w:rPr>
          <w:rFonts w:ascii="Arial" w:hAnsi="Arial" w:cs="Arial"/>
          <w:sz w:val="20"/>
          <w:szCs w:val="20"/>
        </w:rPr>
        <w:t>la base devengada</w:t>
      </w:r>
      <w:r w:rsidRPr="003B15B7">
        <w:rPr>
          <w:rFonts w:ascii="Arial" w:hAnsi="Arial" w:cs="Arial"/>
          <w:sz w:val="20"/>
          <w:szCs w:val="20"/>
        </w:rPr>
        <w:t xml:space="preserve">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444C3F" w:rsidRDefault="00444C3F" w:rsidP="00444C3F">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620A84" w:rsidP="00786EDC">
      <w:pPr>
        <w:jc w:val="both"/>
        <w:rPr>
          <w:rFonts w:ascii="Arial" w:hAnsi="Arial" w:cs="Arial"/>
          <w:sz w:val="20"/>
          <w:szCs w:val="20"/>
          <w:u w:val="single"/>
        </w:rPr>
      </w:pPr>
      <w:r>
        <w:rPr>
          <w:rFonts w:ascii="Arial" w:hAnsi="Arial" w:cs="Arial"/>
          <w:sz w:val="20"/>
          <w:szCs w:val="20"/>
          <w:u w:val="single"/>
        </w:rPr>
        <w:t>Es el Poder Ejecutivo</w:t>
      </w:r>
      <w:r w:rsidR="00444C3F">
        <w:rPr>
          <w:rFonts w:ascii="Arial" w:hAnsi="Arial" w:cs="Arial"/>
          <w:sz w:val="20"/>
          <w:szCs w:val="20"/>
          <w:u w:val="single"/>
        </w:rPr>
        <w:t xml:space="preserve"> </w:t>
      </w:r>
      <w:r w:rsidR="00786EDC"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sidR="00272A00">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255B45"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w:t>
      </w:r>
      <w:r w:rsidR="00255B45" w:rsidRPr="003B15B7">
        <w:rPr>
          <w:rFonts w:ascii="Arial" w:hAnsi="Arial" w:cs="Arial"/>
          <w:sz w:val="20"/>
          <w:szCs w:val="20"/>
          <w:u w:val="single"/>
        </w:rPr>
        <w:t>registran cada</w:t>
      </w:r>
      <w:r w:rsidRPr="003B15B7">
        <w:rPr>
          <w:rFonts w:ascii="Arial" w:hAnsi="Arial" w:cs="Arial"/>
          <w:sz w:val="20"/>
          <w:szCs w:val="20"/>
          <w:u w:val="single"/>
        </w:rPr>
        <w:t xml:space="preserve"> fin de </w:t>
      </w:r>
      <w:r w:rsidR="00255B45" w:rsidRPr="003B15B7">
        <w:rPr>
          <w:rFonts w:ascii="Arial" w:hAnsi="Arial" w:cs="Arial"/>
          <w:sz w:val="20"/>
          <w:szCs w:val="20"/>
          <w:u w:val="single"/>
        </w:rPr>
        <w:t>mes son</w:t>
      </w:r>
      <w:r w:rsidRPr="003B15B7">
        <w:rPr>
          <w:rFonts w:ascii="Arial" w:hAnsi="Arial" w:cs="Arial"/>
          <w:sz w:val="20"/>
          <w:szCs w:val="20"/>
          <w:u w:val="single"/>
        </w:rPr>
        <w:t xml:space="preserve">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620A84">
        <w:rPr>
          <w:rFonts w:ascii="Arial" w:hAnsi="Arial" w:cs="Arial"/>
          <w:sz w:val="20"/>
          <w:szCs w:val="20"/>
          <w:u w:val="single"/>
        </w:rPr>
        <w:t>3</w:t>
      </w:r>
      <w:r w:rsidR="00947CEF">
        <w:rPr>
          <w:rFonts w:ascii="Arial" w:hAnsi="Arial" w:cs="Arial"/>
          <w:sz w:val="20"/>
          <w:szCs w:val="20"/>
          <w:u w:val="single"/>
        </w:rPr>
        <w:t>0</w:t>
      </w:r>
      <w:r w:rsidR="00620A84">
        <w:rPr>
          <w:rFonts w:ascii="Arial" w:hAnsi="Arial" w:cs="Arial"/>
          <w:sz w:val="20"/>
          <w:szCs w:val="20"/>
          <w:u w:val="single"/>
        </w:rPr>
        <w:t>.</w:t>
      </w:r>
      <w:r w:rsidR="00AD1201">
        <w:rPr>
          <w:rFonts w:ascii="Arial" w:hAnsi="Arial" w:cs="Arial"/>
          <w:sz w:val="20"/>
          <w:szCs w:val="20"/>
          <w:u w:val="single"/>
        </w:rPr>
        <w:t>0</w:t>
      </w:r>
      <w:r w:rsidR="006551E0">
        <w:rPr>
          <w:rFonts w:ascii="Arial" w:hAnsi="Arial" w:cs="Arial"/>
          <w:sz w:val="20"/>
          <w:szCs w:val="20"/>
          <w:u w:val="single"/>
        </w:rPr>
        <w:t>9</w:t>
      </w:r>
      <w:r w:rsidR="00AD1201">
        <w:rPr>
          <w:rFonts w:ascii="Arial" w:hAnsi="Arial" w:cs="Arial"/>
          <w:sz w:val="20"/>
          <w:szCs w:val="20"/>
          <w:u w:val="single"/>
        </w:rPr>
        <w:t>.2020</w:t>
      </w:r>
      <w:r w:rsidR="00CC31EC">
        <w:rPr>
          <w:rFonts w:ascii="Arial" w:hAnsi="Arial" w:cs="Arial"/>
          <w:sz w:val="20"/>
          <w:szCs w:val="20"/>
          <w:u w:val="single"/>
        </w:rPr>
        <w:t xml:space="preserve"> </w:t>
      </w:r>
      <w:r w:rsidR="00004F9C" w:rsidRPr="003B15B7">
        <w:rPr>
          <w:rFonts w:ascii="Arial" w:hAnsi="Arial" w:cs="Arial"/>
          <w:sz w:val="20"/>
          <w:szCs w:val="20"/>
          <w:u w:val="single"/>
        </w:rPr>
        <w:t>de $</w:t>
      </w:r>
      <w:r w:rsidRPr="003B15B7">
        <w:rPr>
          <w:rFonts w:ascii="Arial" w:hAnsi="Arial" w:cs="Arial"/>
          <w:sz w:val="20"/>
          <w:szCs w:val="20"/>
          <w:u w:val="single"/>
        </w:rPr>
        <w:t xml:space="preserve"> </w:t>
      </w:r>
      <w:r w:rsidR="005131F1">
        <w:rPr>
          <w:rFonts w:ascii="Arial" w:hAnsi="Arial" w:cs="Arial"/>
          <w:sz w:val="20"/>
          <w:szCs w:val="20"/>
          <w:u w:val="single"/>
        </w:rPr>
        <w:t>3</w:t>
      </w:r>
      <w:r>
        <w:rPr>
          <w:rFonts w:ascii="Arial" w:hAnsi="Arial" w:cs="Arial"/>
          <w:sz w:val="20"/>
          <w:szCs w:val="20"/>
          <w:u w:val="single"/>
        </w:rPr>
        <w:t>,</w:t>
      </w:r>
      <w:r w:rsidR="008A4546">
        <w:rPr>
          <w:rFonts w:ascii="Arial" w:hAnsi="Arial" w:cs="Arial"/>
          <w:sz w:val="20"/>
          <w:szCs w:val="20"/>
          <w:u w:val="single"/>
        </w:rPr>
        <w:t>3</w:t>
      </w:r>
      <w:r w:rsidR="00820F91">
        <w:rPr>
          <w:rFonts w:ascii="Arial" w:hAnsi="Arial" w:cs="Arial"/>
          <w:sz w:val="20"/>
          <w:szCs w:val="20"/>
          <w:u w:val="single"/>
        </w:rPr>
        <w:t>3</w:t>
      </w:r>
      <w:r w:rsidR="008A4546">
        <w:rPr>
          <w:rFonts w:ascii="Arial" w:hAnsi="Arial" w:cs="Arial"/>
          <w:sz w:val="20"/>
          <w:szCs w:val="20"/>
          <w:u w:val="single"/>
        </w:rPr>
        <w:t>6</w:t>
      </w:r>
      <w:r w:rsidR="00255B45">
        <w:rPr>
          <w:rFonts w:ascii="Arial" w:hAnsi="Arial" w:cs="Arial"/>
          <w:sz w:val="20"/>
          <w:szCs w:val="20"/>
          <w:u w:val="single"/>
        </w:rPr>
        <w:t>,</w:t>
      </w:r>
      <w:r w:rsidR="008A4546">
        <w:rPr>
          <w:rFonts w:ascii="Arial" w:hAnsi="Arial" w:cs="Arial"/>
          <w:sz w:val="20"/>
          <w:szCs w:val="20"/>
          <w:u w:val="single"/>
        </w:rPr>
        <w:t>0</w:t>
      </w:r>
      <w:r w:rsidR="00820F91">
        <w:rPr>
          <w:rFonts w:ascii="Arial" w:hAnsi="Arial" w:cs="Arial"/>
          <w:sz w:val="20"/>
          <w:szCs w:val="20"/>
          <w:u w:val="single"/>
        </w:rPr>
        <w:t>10</w:t>
      </w:r>
      <w:r w:rsidR="008A4546">
        <w:rPr>
          <w:rFonts w:ascii="Arial" w:hAnsi="Arial" w:cs="Arial"/>
          <w:sz w:val="20"/>
          <w:szCs w:val="20"/>
          <w:u w:val="single"/>
        </w:rPr>
        <w:t>.9</w:t>
      </w:r>
      <w:r w:rsidR="00820F91">
        <w:rPr>
          <w:rFonts w:ascii="Arial" w:hAnsi="Arial" w:cs="Arial"/>
          <w:sz w:val="20"/>
          <w:szCs w:val="20"/>
          <w:u w:val="single"/>
        </w:rPr>
        <w:t>3</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004F9C" w:rsidRDefault="00004F9C" w:rsidP="00786EDC">
      <w:pPr>
        <w:jc w:val="both"/>
        <w:rPr>
          <w:rFonts w:ascii="Arial" w:hAnsi="Arial" w:cs="Arial"/>
          <w:sz w:val="20"/>
          <w:szCs w:val="20"/>
          <w:u w:val="single"/>
        </w:rPr>
      </w:pPr>
    </w:p>
    <w:p w:rsidR="00004F9C" w:rsidRDefault="00004F9C" w:rsidP="00786EDC">
      <w:pPr>
        <w:jc w:val="both"/>
        <w:rPr>
          <w:rFonts w:ascii="Arial" w:hAnsi="Arial" w:cs="Arial"/>
          <w:sz w:val="20"/>
          <w:szCs w:val="20"/>
          <w:u w:val="single"/>
        </w:rPr>
      </w:pPr>
      <w:r>
        <w:rPr>
          <w:rFonts w:ascii="Arial" w:hAnsi="Arial" w:cs="Arial"/>
          <w:sz w:val="20"/>
          <w:szCs w:val="20"/>
          <w:u w:val="single"/>
        </w:rPr>
        <w:t xml:space="preserve">Con el fin de no incurrir en lo señalado en el artículo 14 de la Ley de Disciplina Financiera </w:t>
      </w:r>
      <w:r w:rsidR="00BC5C12">
        <w:rPr>
          <w:rFonts w:ascii="Arial" w:hAnsi="Arial" w:cs="Arial"/>
          <w:sz w:val="20"/>
          <w:szCs w:val="20"/>
          <w:u w:val="single"/>
        </w:rPr>
        <w:t>se reclasifica</w:t>
      </w:r>
      <w:r w:rsidR="00124658">
        <w:rPr>
          <w:rFonts w:ascii="Arial" w:hAnsi="Arial" w:cs="Arial"/>
          <w:sz w:val="20"/>
          <w:szCs w:val="20"/>
          <w:u w:val="single"/>
        </w:rPr>
        <w:t>ron</w:t>
      </w:r>
      <w:r w:rsidR="00BC5C12">
        <w:rPr>
          <w:rFonts w:ascii="Arial" w:hAnsi="Arial" w:cs="Arial"/>
          <w:sz w:val="20"/>
          <w:szCs w:val="20"/>
          <w:u w:val="single"/>
        </w:rPr>
        <w:t xml:space="preserve"> con fecha 31 de marzo de </w:t>
      </w:r>
      <w:r w:rsidR="001B2628">
        <w:rPr>
          <w:rFonts w:ascii="Arial" w:hAnsi="Arial" w:cs="Arial"/>
          <w:sz w:val="20"/>
          <w:szCs w:val="20"/>
          <w:u w:val="single"/>
        </w:rPr>
        <w:t>2018 las</w:t>
      </w:r>
      <w:r w:rsidR="00BC5C12">
        <w:rPr>
          <w:rFonts w:ascii="Arial" w:hAnsi="Arial" w:cs="Arial"/>
          <w:sz w:val="20"/>
          <w:szCs w:val="20"/>
          <w:u w:val="single"/>
        </w:rPr>
        <w:t xml:space="preserve"> cuentas de aplicación de remanentes: </w:t>
      </w:r>
    </w:p>
    <w:p w:rsidR="0081470B" w:rsidRDefault="0081470B" w:rsidP="00786EDC">
      <w:pPr>
        <w:jc w:val="both"/>
        <w:rPr>
          <w:rFonts w:ascii="Arial" w:hAnsi="Arial" w:cs="Arial"/>
          <w:sz w:val="20"/>
          <w:szCs w:val="20"/>
          <w:u w:val="single"/>
        </w:rPr>
      </w:pPr>
    </w:p>
    <w:p w:rsidR="00BC5C12" w:rsidRPr="00BC5C12" w:rsidRDefault="00BC5C12"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BC5C12" w:rsidRPr="00BC5C12" w:rsidRDefault="00BC5C12" w:rsidP="00786EDC">
      <w:pPr>
        <w:jc w:val="both"/>
        <w:rPr>
          <w:rFonts w:ascii="Arial" w:hAnsi="Arial" w:cs="Arial"/>
          <w:sz w:val="20"/>
          <w:szCs w:val="20"/>
        </w:rPr>
      </w:pPr>
      <w:r w:rsidRPr="00BC5C12">
        <w:rPr>
          <w:rFonts w:ascii="Arial" w:hAnsi="Arial" w:cs="Arial"/>
          <w:sz w:val="20"/>
          <w:szCs w:val="20"/>
        </w:rPr>
        <w:t>Cuenta Anterior:                                       Cuenta Nueva:</w:t>
      </w:r>
    </w:p>
    <w:p w:rsidR="00BC5C12" w:rsidRDefault="00BC5C12" w:rsidP="00786EDC">
      <w:pPr>
        <w:jc w:val="both"/>
        <w:rPr>
          <w:rFonts w:ascii="Arial" w:hAnsi="Arial" w:cs="Arial"/>
          <w:sz w:val="20"/>
          <w:szCs w:val="20"/>
          <w:u w:val="single"/>
        </w:rPr>
      </w:pP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3220690201 Rem Propio                         3220690211 </w:t>
      </w:r>
      <w:r>
        <w:rPr>
          <w:rFonts w:ascii="Arial" w:hAnsi="Arial" w:cs="Arial"/>
          <w:sz w:val="20"/>
          <w:szCs w:val="20"/>
          <w:lang w:val="es-MX" w:eastAsia="es-MX"/>
        </w:rPr>
        <w:t>Rem Propio</w:t>
      </w:r>
    </w:p>
    <w:p w:rsidR="00BC5C12" w:rsidRPr="00BC5C12" w:rsidRDefault="00BC5C12" w:rsidP="00BC5C12">
      <w:pPr>
        <w:rPr>
          <w:rFonts w:ascii="Arial" w:hAnsi="Arial" w:cs="Arial"/>
          <w:sz w:val="20"/>
          <w:szCs w:val="20"/>
          <w:lang w:val="es-MX" w:eastAsia="es-MX"/>
        </w:rPr>
      </w:pPr>
      <w:r>
        <w:rPr>
          <w:rFonts w:ascii="Arial" w:hAnsi="Arial" w:cs="Arial"/>
          <w:sz w:val="20"/>
          <w:szCs w:val="20"/>
          <w:lang w:val="es-MX" w:eastAsia="es-MX"/>
        </w:rPr>
        <w:t xml:space="preserve">3220690202 Rem Federal                       </w:t>
      </w:r>
      <w:r w:rsidRPr="00BC5C12">
        <w:rPr>
          <w:rFonts w:ascii="Arial" w:hAnsi="Arial" w:cs="Arial"/>
          <w:sz w:val="20"/>
          <w:szCs w:val="20"/>
          <w:lang w:val="es-MX" w:eastAsia="es-MX"/>
        </w:rPr>
        <w:t>3220690212 </w:t>
      </w:r>
      <w:r>
        <w:rPr>
          <w:rFonts w:ascii="Arial" w:hAnsi="Arial" w:cs="Arial"/>
          <w:sz w:val="20"/>
          <w:szCs w:val="20"/>
          <w:lang w:val="es-MX" w:eastAsia="es-MX"/>
        </w:rPr>
        <w:t>Rem Federal</w:t>
      </w: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 xml:space="preserve">3220690203 </w:t>
      </w:r>
      <w:r w:rsidR="005131F1">
        <w:rPr>
          <w:rFonts w:ascii="Arial" w:hAnsi="Arial" w:cs="Arial"/>
          <w:sz w:val="20"/>
          <w:szCs w:val="20"/>
          <w:lang w:val="es-MX" w:eastAsia="es-MX"/>
        </w:rPr>
        <w:t>Rem Interinstitucional         </w:t>
      </w:r>
      <w:r w:rsidRPr="00BC5C12">
        <w:rPr>
          <w:rFonts w:ascii="Arial" w:hAnsi="Arial" w:cs="Arial"/>
          <w:sz w:val="20"/>
          <w:szCs w:val="20"/>
          <w:lang w:val="es-MX" w:eastAsia="es-MX"/>
        </w:rPr>
        <w:t>3220690213</w:t>
      </w:r>
      <w:r>
        <w:rPr>
          <w:rFonts w:ascii="Arial" w:hAnsi="Arial" w:cs="Arial"/>
          <w:sz w:val="20"/>
          <w:szCs w:val="20"/>
          <w:lang w:val="es-MX" w:eastAsia="es-MX"/>
        </w:rPr>
        <w:t xml:space="preserve"> Rem Interinstitucional</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272A00" w:rsidP="00786EDC">
      <w:pPr>
        <w:jc w:val="both"/>
        <w:rPr>
          <w:rFonts w:ascii="Arial" w:hAnsi="Arial" w:cs="Arial"/>
          <w:sz w:val="20"/>
          <w:szCs w:val="20"/>
          <w:u w:val="single"/>
        </w:rPr>
      </w:pPr>
      <w:r>
        <w:rPr>
          <w:rFonts w:ascii="Arial" w:hAnsi="Arial" w:cs="Arial"/>
          <w:sz w:val="20"/>
          <w:szCs w:val="20"/>
          <w:u w:val="single"/>
        </w:rPr>
        <w:t>No aplica</w:t>
      </w:r>
      <w:r w:rsidR="00786EDC">
        <w:rPr>
          <w:rFonts w:ascii="Arial" w:hAnsi="Arial" w:cs="Arial"/>
          <w:sz w:val="20"/>
          <w:szCs w:val="20"/>
          <w:u w:val="single"/>
        </w:rPr>
        <w:t xml:space="preserve">. </w:t>
      </w:r>
    </w:p>
    <w:p w:rsidR="00786EDC" w:rsidRDefault="00786EDC" w:rsidP="00786EDC">
      <w:pPr>
        <w:jc w:val="both"/>
        <w:rPr>
          <w:rFonts w:ascii="Arial" w:hAnsi="Arial" w:cs="Arial"/>
          <w:sz w:val="20"/>
          <w:szCs w:val="20"/>
          <w:u w:val="single"/>
        </w:rPr>
      </w:pPr>
    </w:p>
    <w:p w:rsidR="00BC5C12" w:rsidRPr="00634D57" w:rsidRDefault="00BC5C12"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81470B" w:rsidRDefault="0081470B"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657950" w:rsidP="00786EDC">
      <w:pPr>
        <w:jc w:val="both"/>
        <w:rPr>
          <w:rFonts w:ascii="Arial" w:hAnsi="Arial" w:cs="Arial"/>
          <w:sz w:val="20"/>
          <w:szCs w:val="20"/>
          <w:u w:val="single"/>
        </w:rPr>
      </w:pPr>
      <w:r>
        <w:rPr>
          <w:rFonts w:ascii="Arial" w:hAnsi="Arial" w:cs="Arial"/>
          <w:sz w:val="20"/>
          <w:szCs w:val="20"/>
          <w:u w:val="single"/>
        </w:rPr>
        <w:t xml:space="preserve">El ITSUR </w:t>
      </w:r>
      <w:r w:rsidR="00357CC4">
        <w:rPr>
          <w:rFonts w:ascii="Arial" w:hAnsi="Arial" w:cs="Arial"/>
          <w:sz w:val="20"/>
          <w:szCs w:val="20"/>
          <w:u w:val="single"/>
        </w:rPr>
        <w:t>actualmente no cuenta con inversiones financieras.</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0E0998" w:rsidRDefault="000E0998" w:rsidP="00786EDC">
      <w:pPr>
        <w:jc w:val="both"/>
        <w:rPr>
          <w:rFonts w:ascii="Arial" w:hAnsi="Arial" w:cs="Arial"/>
          <w:sz w:val="20"/>
          <w:szCs w:val="20"/>
        </w:rPr>
      </w:pPr>
    </w:p>
    <w:p w:rsidR="00786EDC" w:rsidRPr="000E0998" w:rsidRDefault="00786EDC" w:rsidP="00786EDC">
      <w:pPr>
        <w:jc w:val="both"/>
        <w:rPr>
          <w:rFonts w:ascii="Arial" w:hAnsi="Arial" w:cs="Arial"/>
          <w:sz w:val="20"/>
          <w:szCs w:val="20"/>
          <w:u w:val="single"/>
        </w:rPr>
      </w:pPr>
      <w:r>
        <w:rPr>
          <w:rFonts w:ascii="Arial" w:hAnsi="Arial" w:cs="Arial"/>
          <w:sz w:val="20"/>
          <w:szCs w:val="20"/>
        </w:rPr>
        <w:t xml:space="preserve"> </w:t>
      </w:r>
      <w:r w:rsidR="000E0998" w:rsidRPr="000E0998">
        <w:rPr>
          <w:rFonts w:ascii="Arial" w:hAnsi="Arial" w:cs="Arial"/>
          <w:sz w:val="20"/>
          <w:szCs w:val="20"/>
          <w:u w:val="single"/>
        </w:rPr>
        <w:t>No aplica.</w:t>
      </w:r>
    </w:p>
    <w:p w:rsidR="00BC5C12" w:rsidRDefault="00BC5C12"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0E0998"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3F4349" w:rsidP="00786EDC">
      <w:pPr>
        <w:jc w:val="both"/>
        <w:rPr>
          <w:rFonts w:ascii="Arial" w:hAnsi="Arial" w:cs="Arial"/>
          <w:sz w:val="20"/>
          <w:szCs w:val="20"/>
          <w:u w:val="single"/>
        </w:rPr>
      </w:pPr>
      <w:r>
        <w:rPr>
          <w:rFonts w:ascii="Arial" w:hAnsi="Arial" w:cs="Arial"/>
          <w:sz w:val="20"/>
          <w:szCs w:val="20"/>
          <w:u w:val="single"/>
        </w:rPr>
        <w:t>No aplica</w:t>
      </w:r>
      <w:r w:rsidR="00786EDC" w:rsidRPr="003B15B7">
        <w:rPr>
          <w:rFonts w:ascii="Arial" w:hAnsi="Arial" w:cs="Arial"/>
          <w:sz w:val="20"/>
          <w:szCs w:val="20"/>
          <w:u w:val="single"/>
        </w:rPr>
        <w:t xml:space="preserve">. </w:t>
      </w: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357CC4" w:rsidP="00786EDC">
      <w:pPr>
        <w:jc w:val="both"/>
        <w:rPr>
          <w:rFonts w:ascii="Arial" w:hAnsi="Arial" w:cs="Arial"/>
          <w:sz w:val="20"/>
          <w:szCs w:val="20"/>
          <w:u w:val="single"/>
        </w:rPr>
      </w:pPr>
      <w:r>
        <w:rPr>
          <w:rFonts w:ascii="Arial" w:hAnsi="Arial" w:cs="Arial"/>
          <w:sz w:val="20"/>
          <w:szCs w:val="20"/>
          <w:u w:val="single"/>
        </w:rPr>
        <w:t xml:space="preserve">Dentro del Sistema de Gestión Integral </w:t>
      </w:r>
      <w:r w:rsidR="00A612EA">
        <w:rPr>
          <w:rFonts w:ascii="Arial" w:hAnsi="Arial" w:cs="Arial"/>
          <w:sz w:val="20"/>
          <w:szCs w:val="20"/>
          <w:u w:val="single"/>
        </w:rPr>
        <w:t xml:space="preserve">de los Institutos Tecnológicos Descentralizados de grupo de Multisitios 1AB en el cual se encuentra el </w:t>
      </w:r>
      <w:r w:rsidR="00E44539">
        <w:rPr>
          <w:rFonts w:ascii="Arial" w:hAnsi="Arial" w:cs="Arial"/>
          <w:sz w:val="20"/>
          <w:szCs w:val="20"/>
          <w:u w:val="single"/>
        </w:rPr>
        <w:t>ITSUR se</w:t>
      </w:r>
      <w:r>
        <w:rPr>
          <w:rFonts w:ascii="Arial" w:hAnsi="Arial" w:cs="Arial"/>
          <w:sz w:val="20"/>
          <w:szCs w:val="20"/>
          <w:u w:val="single"/>
        </w:rPr>
        <w:t xml:space="preserve"> cuenta con un procedimiento para mantener la Infraestructura y Equipo </w:t>
      </w:r>
      <w:r w:rsidR="00A612EA">
        <w:rPr>
          <w:rFonts w:ascii="Arial" w:hAnsi="Arial" w:cs="Arial"/>
          <w:sz w:val="20"/>
          <w:szCs w:val="20"/>
          <w:u w:val="single"/>
        </w:rPr>
        <w:t>en condiciones para lograr la conformidad con los requisitos del servicio educativo.</w:t>
      </w:r>
    </w:p>
    <w:p w:rsidR="00127AAB" w:rsidRDefault="00127AAB" w:rsidP="00786EDC">
      <w:pPr>
        <w:jc w:val="both"/>
        <w:rPr>
          <w:rFonts w:ascii="Arial" w:hAnsi="Arial" w:cs="Arial"/>
          <w:sz w:val="20"/>
          <w:szCs w:val="20"/>
          <w:u w:val="single"/>
        </w:rPr>
      </w:pPr>
    </w:p>
    <w:p w:rsidR="0081470B" w:rsidRDefault="0081470B" w:rsidP="00786EDC">
      <w:pPr>
        <w:jc w:val="both"/>
        <w:rPr>
          <w:rFonts w:ascii="Arial" w:hAnsi="Arial" w:cs="Arial"/>
          <w:sz w:val="20"/>
          <w:szCs w:val="20"/>
        </w:rPr>
      </w:pPr>
    </w:p>
    <w:p w:rsidR="0081470B" w:rsidRDefault="0081470B"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0E0998" w:rsidP="00786EDC">
      <w:pPr>
        <w:jc w:val="both"/>
        <w:rPr>
          <w:rFonts w:ascii="Arial" w:hAnsi="Arial" w:cs="Arial"/>
          <w:sz w:val="20"/>
          <w:szCs w:val="20"/>
          <w:u w:val="single"/>
        </w:rPr>
      </w:pPr>
      <w:r>
        <w:rPr>
          <w:rFonts w:ascii="Arial" w:hAnsi="Arial" w:cs="Arial"/>
          <w:sz w:val="20"/>
          <w:szCs w:val="20"/>
          <w:u w:val="single"/>
        </w:rPr>
        <w:t>No aplica.</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D93F0C" w:rsidRPr="003B15B7" w:rsidRDefault="00D93F0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81470B" w:rsidRDefault="0081470B"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620A84">
        <w:rPr>
          <w:rFonts w:ascii="Arial" w:hAnsi="Arial" w:cs="Arial"/>
          <w:sz w:val="20"/>
          <w:szCs w:val="20"/>
          <w:u w:val="single"/>
        </w:rPr>
        <w:t>3</w:t>
      </w:r>
      <w:r w:rsidR="00947CEF">
        <w:rPr>
          <w:rFonts w:ascii="Arial" w:hAnsi="Arial" w:cs="Arial"/>
          <w:sz w:val="20"/>
          <w:szCs w:val="20"/>
          <w:u w:val="single"/>
        </w:rPr>
        <w:t>0</w:t>
      </w:r>
      <w:r w:rsidR="00620A84">
        <w:rPr>
          <w:rFonts w:ascii="Arial" w:hAnsi="Arial" w:cs="Arial"/>
          <w:sz w:val="20"/>
          <w:szCs w:val="20"/>
          <w:u w:val="single"/>
        </w:rPr>
        <w:t>.</w:t>
      </w:r>
      <w:r w:rsidR="00AD1201">
        <w:rPr>
          <w:rFonts w:ascii="Arial" w:hAnsi="Arial" w:cs="Arial"/>
          <w:sz w:val="20"/>
          <w:szCs w:val="20"/>
          <w:u w:val="single"/>
        </w:rPr>
        <w:t>0</w:t>
      </w:r>
      <w:r w:rsidR="006551E0">
        <w:rPr>
          <w:rFonts w:ascii="Arial" w:hAnsi="Arial" w:cs="Arial"/>
          <w:sz w:val="20"/>
          <w:szCs w:val="20"/>
          <w:u w:val="single"/>
        </w:rPr>
        <w:t>9</w:t>
      </w:r>
      <w:r w:rsidR="00AD1201">
        <w:rPr>
          <w:rFonts w:ascii="Arial" w:hAnsi="Arial" w:cs="Arial"/>
          <w:sz w:val="20"/>
          <w:szCs w:val="20"/>
          <w:u w:val="single"/>
        </w:rPr>
        <w:t>.2020</w:t>
      </w:r>
      <w:r w:rsidR="00ED707B" w:rsidRPr="003B15B7">
        <w:rPr>
          <w:rFonts w:ascii="Arial" w:hAnsi="Arial" w:cs="Arial"/>
          <w:sz w:val="20"/>
          <w:szCs w:val="20"/>
          <w:u w:val="single"/>
        </w:rPr>
        <w:t xml:space="preserve"> es </w:t>
      </w:r>
      <w:r w:rsidR="001B2628" w:rsidRPr="003B15B7">
        <w:rPr>
          <w:rFonts w:ascii="Arial" w:hAnsi="Arial" w:cs="Arial"/>
          <w:sz w:val="20"/>
          <w:szCs w:val="20"/>
          <w:u w:val="single"/>
        </w:rPr>
        <w:t>de $</w:t>
      </w:r>
      <w:r w:rsidR="00ED707B" w:rsidRPr="003B15B7">
        <w:rPr>
          <w:rFonts w:ascii="Arial" w:hAnsi="Arial" w:cs="Arial"/>
          <w:sz w:val="20"/>
          <w:szCs w:val="20"/>
          <w:u w:val="single"/>
        </w:rPr>
        <w:t xml:space="preserve"> </w:t>
      </w:r>
      <w:r w:rsidR="006551E0">
        <w:rPr>
          <w:rFonts w:ascii="Arial" w:hAnsi="Arial" w:cs="Arial"/>
          <w:sz w:val="20"/>
          <w:szCs w:val="20"/>
          <w:u w:val="single"/>
        </w:rPr>
        <w:t>46</w:t>
      </w:r>
      <w:r w:rsidR="00947CEF">
        <w:rPr>
          <w:rFonts w:ascii="Arial" w:hAnsi="Arial" w:cs="Arial"/>
          <w:sz w:val="20"/>
          <w:szCs w:val="20"/>
          <w:u w:val="single"/>
        </w:rPr>
        <w:t>,</w:t>
      </w:r>
      <w:r w:rsidR="006551E0">
        <w:rPr>
          <w:rFonts w:ascii="Arial" w:hAnsi="Arial" w:cs="Arial"/>
          <w:sz w:val="20"/>
          <w:szCs w:val="20"/>
          <w:u w:val="single"/>
        </w:rPr>
        <w:t>223,077.97</w:t>
      </w:r>
      <w:r w:rsidR="001B2628" w:rsidRPr="003B15B7">
        <w:rPr>
          <w:rFonts w:ascii="Arial" w:hAnsi="Arial" w:cs="Arial"/>
          <w:sz w:val="20"/>
          <w:szCs w:val="20"/>
          <w:u w:val="single"/>
        </w:rPr>
        <w:t xml:space="preserve"> pesos el</w:t>
      </w:r>
      <w:r w:rsidR="00ED707B" w:rsidRPr="003B15B7">
        <w:rPr>
          <w:rFonts w:ascii="Arial" w:hAnsi="Arial" w:cs="Arial"/>
          <w:sz w:val="20"/>
          <w:szCs w:val="20"/>
          <w:u w:val="single"/>
        </w:rPr>
        <w:t xml:space="preserve">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Estatal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1B2628">
        <w:rPr>
          <w:rFonts w:ascii="Arial" w:hAnsi="Arial" w:cs="Arial"/>
          <w:sz w:val="20"/>
          <w:szCs w:val="20"/>
          <w:u w:val="single"/>
        </w:rPr>
        <w:t xml:space="preserve"> $</w:t>
      </w:r>
      <w:r w:rsidR="0094744C">
        <w:rPr>
          <w:rFonts w:ascii="Arial" w:hAnsi="Arial" w:cs="Arial"/>
          <w:sz w:val="20"/>
          <w:szCs w:val="20"/>
          <w:u w:val="single"/>
        </w:rPr>
        <w:t xml:space="preserve"> </w:t>
      </w:r>
      <w:r w:rsidR="006551E0">
        <w:rPr>
          <w:rFonts w:ascii="Arial" w:hAnsi="Arial" w:cs="Arial"/>
          <w:sz w:val="20"/>
          <w:szCs w:val="20"/>
          <w:u w:val="single"/>
        </w:rPr>
        <w:t>25,756,960.80</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Federal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6551E0">
        <w:rPr>
          <w:rFonts w:ascii="Arial" w:hAnsi="Arial" w:cs="Arial"/>
          <w:sz w:val="20"/>
          <w:szCs w:val="20"/>
          <w:u w:val="single"/>
        </w:rPr>
        <w:t>18,695,620.00</w:t>
      </w:r>
    </w:p>
    <w:p w:rsidR="00E44539"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w:t>
      </w:r>
      <w:r w:rsidR="001B2628">
        <w:rPr>
          <w:rFonts w:ascii="Arial" w:hAnsi="Arial" w:cs="Arial"/>
          <w:sz w:val="20"/>
          <w:szCs w:val="20"/>
          <w:u w:val="single"/>
        </w:rPr>
        <w:t xml:space="preserve"> </w:t>
      </w:r>
      <w:r w:rsidRPr="003B15B7">
        <w:rPr>
          <w:rFonts w:ascii="Arial" w:hAnsi="Arial" w:cs="Arial"/>
          <w:sz w:val="20"/>
          <w:szCs w:val="20"/>
          <w:u w:val="single"/>
        </w:rPr>
        <w:t xml:space="preserve"> </w:t>
      </w:r>
      <w:r w:rsidR="006551E0">
        <w:rPr>
          <w:rFonts w:ascii="Arial" w:hAnsi="Arial" w:cs="Arial"/>
          <w:sz w:val="20"/>
          <w:szCs w:val="20"/>
          <w:u w:val="single"/>
        </w:rPr>
        <w:t xml:space="preserve"> $   1,605,497.17</w:t>
      </w:r>
    </w:p>
    <w:p w:rsidR="006551E0" w:rsidRDefault="006551E0" w:rsidP="00786EDC">
      <w:pPr>
        <w:jc w:val="both"/>
        <w:rPr>
          <w:rFonts w:ascii="Arial" w:hAnsi="Arial" w:cs="Arial"/>
          <w:sz w:val="20"/>
          <w:szCs w:val="20"/>
          <w:u w:val="single"/>
        </w:rPr>
      </w:pPr>
      <w:r>
        <w:rPr>
          <w:rFonts w:ascii="Arial" w:hAnsi="Arial" w:cs="Arial"/>
          <w:sz w:val="20"/>
          <w:szCs w:val="20"/>
          <w:u w:val="single"/>
        </w:rPr>
        <w:t>Otros Recursos        $      165,000.00</w:t>
      </w:r>
    </w:p>
    <w:p w:rsidR="00AA5AED" w:rsidRDefault="00AA5AED" w:rsidP="00786EDC">
      <w:pPr>
        <w:jc w:val="both"/>
        <w:rPr>
          <w:rFonts w:ascii="Arial" w:hAnsi="Arial" w:cs="Arial"/>
          <w:sz w:val="20"/>
          <w:szCs w:val="20"/>
          <w:u w:val="single"/>
        </w:rPr>
      </w:pPr>
    </w:p>
    <w:p w:rsidR="001A6959" w:rsidRDefault="00ED707B" w:rsidP="00786EDC">
      <w:pPr>
        <w:jc w:val="both"/>
        <w:rPr>
          <w:rFonts w:ascii="Arial" w:hAnsi="Arial" w:cs="Arial"/>
          <w:sz w:val="20"/>
          <w:szCs w:val="20"/>
          <w:u w:val="single"/>
        </w:rPr>
      </w:pPr>
      <w:r>
        <w:rPr>
          <w:rFonts w:ascii="Arial" w:hAnsi="Arial" w:cs="Arial"/>
          <w:sz w:val="20"/>
          <w:szCs w:val="20"/>
          <w:u w:val="single"/>
        </w:rPr>
        <w:t xml:space="preserve"> </w:t>
      </w:r>
      <w:r w:rsidR="007113E5">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372CE0" w:rsidRDefault="00B742D7" w:rsidP="00786EDC">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sidR="0094744C">
        <w:rPr>
          <w:rFonts w:ascii="Arial" w:hAnsi="Arial" w:cs="Arial"/>
          <w:sz w:val="20"/>
          <w:szCs w:val="20"/>
          <w:u w:val="single"/>
        </w:rPr>
        <w:t>al 3</w:t>
      </w:r>
      <w:r w:rsidR="002654C4">
        <w:rPr>
          <w:rFonts w:ascii="Arial" w:hAnsi="Arial" w:cs="Arial"/>
          <w:sz w:val="20"/>
          <w:szCs w:val="20"/>
          <w:u w:val="single"/>
        </w:rPr>
        <w:t>0</w:t>
      </w:r>
      <w:r w:rsidR="0094744C">
        <w:rPr>
          <w:rFonts w:ascii="Arial" w:hAnsi="Arial" w:cs="Arial"/>
          <w:sz w:val="20"/>
          <w:szCs w:val="20"/>
          <w:u w:val="single"/>
        </w:rPr>
        <w:t xml:space="preserve"> de </w:t>
      </w:r>
      <w:r w:rsidR="006551E0">
        <w:rPr>
          <w:rFonts w:ascii="Arial" w:hAnsi="Arial" w:cs="Arial"/>
          <w:sz w:val="20"/>
          <w:szCs w:val="20"/>
          <w:u w:val="single"/>
        </w:rPr>
        <w:t>septiembre</w:t>
      </w:r>
      <w:r w:rsidR="002654C4">
        <w:rPr>
          <w:rFonts w:ascii="Arial" w:hAnsi="Arial" w:cs="Arial"/>
          <w:sz w:val="20"/>
          <w:szCs w:val="20"/>
          <w:u w:val="single"/>
        </w:rPr>
        <w:t xml:space="preserve"> de</w:t>
      </w:r>
      <w:r w:rsidR="002D19B5">
        <w:rPr>
          <w:rFonts w:ascii="Arial" w:hAnsi="Arial" w:cs="Arial"/>
          <w:sz w:val="20"/>
          <w:szCs w:val="20"/>
          <w:u w:val="single"/>
        </w:rPr>
        <w:t xml:space="preserve"> 20</w:t>
      </w:r>
      <w:r w:rsidR="004A111F">
        <w:rPr>
          <w:rFonts w:ascii="Arial" w:hAnsi="Arial" w:cs="Arial"/>
          <w:sz w:val="20"/>
          <w:szCs w:val="20"/>
          <w:u w:val="single"/>
        </w:rPr>
        <w:t>20</w:t>
      </w:r>
      <w:r w:rsidR="0094744C">
        <w:rPr>
          <w:rFonts w:ascii="Arial" w:hAnsi="Arial" w:cs="Arial"/>
          <w:sz w:val="20"/>
          <w:szCs w:val="20"/>
          <w:u w:val="single"/>
        </w:rPr>
        <w:t xml:space="preserve"> </w:t>
      </w:r>
      <w:r>
        <w:rPr>
          <w:rFonts w:ascii="Arial" w:hAnsi="Arial" w:cs="Arial"/>
          <w:sz w:val="20"/>
          <w:szCs w:val="20"/>
          <w:u w:val="single"/>
        </w:rPr>
        <w:t xml:space="preserve">se recibieron conforme a lo </w:t>
      </w:r>
      <w:r w:rsidR="001B2628">
        <w:rPr>
          <w:rFonts w:ascii="Arial" w:hAnsi="Arial" w:cs="Arial"/>
          <w:sz w:val="20"/>
          <w:szCs w:val="20"/>
          <w:u w:val="single"/>
        </w:rPr>
        <w:t xml:space="preserve">calendarizado </w:t>
      </w:r>
      <w:r w:rsidR="001B2628" w:rsidRPr="008B4FFD">
        <w:rPr>
          <w:rFonts w:ascii="Arial" w:hAnsi="Arial" w:cs="Arial"/>
          <w:sz w:val="20"/>
          <w:szCs w:val="20"/>
          <w:u w:val="single"/>
        </w:rPr>
        <w:t>y</w:t>
      </w:r>
      <w:r>
        <w:rPr>
          <w:rFonts w:ascii="Arial" w:hAnsi="Arial" w:cs="Arial"/>
          <w:sz w:val="20"/>
          <w:szCs w:val="20"/>
          <w:u w:val="single"/>
        </w:rPr>
        <w:t xml:space="preserve"> </w:t>
      </w:r>
      <w:r w:rsidR="001B2628">
        <w:rPr>
          <w:rFonts w:ascii="Arial" w:hAnsi="Arial" w:cs="Arial"/>
          <w:sz w:val="20"/>
          <w:szCs w:val="20"/>
          <w:u w:val="single"/>
        </w:rPr>
        <w:t>en</w:t>
      </w:r>
      <w:r w:rsidR="001B2628" w:rsidRPr="008B4FFD">
        <w:rPr>
          <w:rFonts w:ascii="Arial" w:hAnsi="Arial" w:cs="Arial"/>
          <w:sz w:val="20"/>
          <w:szCs w:val="20"/>
          <w:u w:val="single"/>
        </w:rPr>
        <w:t xml:space="preserve"> </w:t>
      </w:r>
      <w:r w:rsidR="001B2628">
        <w:rPr>
          <w:rFonts w:ascii="Arial" w:hAnsi="Arial" w:cs="Arial"/>
          <w:sz w:val="20"/>
          <w:szCs w:val="20"/>
          <w:u w:val="single"/>
        </w:rPr>
        <w:t>los</w:t>
      </w:r>
      <w:r>
        <w:rPr>
          <w:rFonts w:ascii="Arial" w:hAnsi="Arial" w:cs="Arial"/>
          <w:sz w:val="20"/>
          <w:szCs w:val="20"/>
          <w:u w:val="single"/>
        </w:rPr>
        <w:t xml:space="preserve"> Ingresos </w:t>
      </w:r>
      <w:r w:rsidR="001B2628">
        <w:rPr>
          <w:rFonts w:ascii="Arial" w:hAnsi="Arial" w:cs="Arial"/>
          <w:sz w:val="20"/>
          <w:szCs w:val="20"/>
          <w:u w:val="single"/>
        </w:rPr>
        <w:t xml:space="preserve">Propios </w:t>
      </w:r>
      <w:r w:rsidR="004D7752">
        <w:rPr>
          <w:rFonts w:ascii="Arial" w:hAnsi="Arial" w:cs="Arial"/>
          <w:sz w:val="20"/>
          <w:szCs w:val="20"/>
          <w:u w:val="single"/>
        </w:rPr>
        <w:t xml:space="preserve">se lleva un avance de recaudación del </w:t>
      </w:r>
      <w:r w:rsidR="006551E0">
        <w:rPr>
          <w:rFonts w:ascii="Arial" w:hAnsi="Arial" w:cs="Arial"/>
          <w:sz w:val="20"/>
          <w:szCs w:val="20"/>
          <w:u w:val="single"/>
        </w:rPr>
        <w:t>45.44</w:t>
      </w:r>
      <w:r w:rsidR="00AA1059">
        <w:rPr>
          <w:rFonts w:ascii="Arial" w:hAnsi="Arial" w:cs="Arial"/>
          <w:sz w:val="20"/>
          <w:szCs w:val="20"/>
          <w:u w:val="single"/>
        </w:rPr>
        <w:t>%.</w:t>
      </w:r>
    </w:p>
    <w:p w:rsidR="00372CE0" w:rsidRDefault="00372CE0"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1B2628" w:rsidRDefault="00302BA6" w:rsidP="00786EDC">
      <w:pPr>
        <w:jc w:val="both"/>
        <w:rPr>
          <w:rFonts w:ascii="Arial" w:hAnsi="Arial" w:cs="Arial"/>
          <w:sz w:val="20"/>
          <w:szCs w:val="20"/>
          <w:u w:val="single"/>
        </w:rPr>
      </w:pPr>
      <w:r>
        <w:rPr>
          <w:rFonts w:ascii="Arial" w:hAnsi="Arial" w:cs="Arial"/>
          <w:sz w:val="20"/>
          <w:szCs w:val="20"/>
          <w:u w:val="single"/>
        </w:rPr>
        <w:t xml:space="preserve">Existe en el ITSUR </w:t>
      </w:r>
      <w:r w:rsidR="00903F8B">
        <w:rPr>
          <w:rFonts w:ascii="Arial" w:hAnsi="Arial" w:cs="Arial"/>
          <w:sz w:val="20"/>
          <w:szCs w:val="20"/>
          <w:u w:val="single"/>
        </w:rPr>
        <w:t xml:space="preserve">un comité de control interno </w:t>
      </w:r>
      <w:r>
        <w:rPr>
          <w:rFonts w:ascii="Arial" w:hAnsi="Arial" w:cs="Arial"/>
          <w:sz w:val="20"/>
          <w:szCs w:val="20"/>
          <w:u w:val="single"/>
        </w:rPr>
        <w:t>encargado de promover el establecimiento y actualización de</w:t>
      </w:r>
      <w:r w:rsidR="009A4FBD">
        <w:rPr>
          <w:rFonts w:ascii="Arial" w:hAnsi="Arial" w:cs="Arial"/>
          <w:sz w:val="20"/>
          <w:szCs w:val="20"/>
          <w:u w:val="single"/>
        </w:rPr>
        <w:t>l mismo,</w:t>
      </w:r>
      <w:r>
        <w:rPr>
          <w:rFonts w:ascii="Arial" w:hAnsi="Arial" w:cs="Arial"/>
          <w:sz w:val="20"/>
          <w:szCs w:val="20"/>
          <w:u w:val="single"/>
        </w:rPr>
        <w:t xml:space="preserve"> siempre apegado a los “Lineamientos Generales de Control Interno y sus Normas de Aplicación para la Administración Pública Estatal”. También se toma como base para el establecimiento de políticas de control interno los Lineamientos Generales de </w:t>
      </w:r>
      <w:r w:rsidR="00786EDC">
        <w:rPr>
          <w:rFonts w:ascii="Arial" w:hAnsi="Arial" w:cs="Arial"/>
          <w:sz w:val="20"/>
          <w:szCs w:val="20"/>
          <w:u w:val="single"/>
        </w:rPr>
        <w:t>Racionalidad, Austeridad y Disciplina Presupuestal de la Administración Pública Estatal para el ejercicio 20</w:t>
      </w:r>
      <w:r w:rsidR="00AA1059">
        <w:rPr>
          <w:rFonts w:ascii="Arial" w:hAnsi="Arial" w:cs="Arial"/>
          <w:sz w:val="20"/>
          <w:szCs w:val="20"/>
          <w:u w:val="single"/>
        </w:rPr>
        <w:t>20</w:t>
      </w:r>
      <w:r>
        <w:rPr>
          <w:rFonts w:ascii="Arial" w:hAnsi="Arial" w:cs="Arial"/>
          <w:sz w:val="20"/>
          <w:szCs w:val="20"/>
          <w:u w:val="single"/>
        </w:rPr>
        <w:t xml:space="preserve"> y el Reglamente Interior del ITSUR.</w:t>
      </w:r>
      <w:r w:rsidR="00786EDC" w:rsidRPr="003B15B7">
        <w:rPr>
          <w:rFonts w:ascii="Arial" w:hAnsi="Arial" w:cs="Arial"/>
          <w:sz w:val="20"/>
          <w:szCs w:val="20"/>
          <w:u w:val="single"/>
        </w:rPr>
        <w:t xml:space="preserve"> </w:t>
      </w:r>
    </w:p>
    <w:p w:rsidR="001B2628" w:rsidRDefault="001B2628" w:rsidP="00786EDC">
      <w:pPr>
        <w:jc w:val="both"/>
        <w:rPr>
          <w:rFonts w:ascii="Arial" w:hAnsi="Arial" w:cs="Arial"/>
          <w:sz w:val="20"/>
          <w:szCs w:val="20"/>
          <w:u w:val="single"/>
        </w:rPr>
      </w:pPr>
    </w:p>
    <w:p w:rsidR="00786EDC" w:rsidRPr="003B15B7" w:rsidRDefault="00F97E65" w:rsidP="00786EDC">
      <w:pPr>
        <w:jc w:val="both"/>
        <w:rPr>
          <w:rFonts w:ascii="Arial" w:hAnsi="Arial" w:cs="Arial"/>
          <w:sz w:val="20"/>
          <w:szCs w:val="20"/>
          <w:u w:val="single"/>
        </w:rPr>
      </w:pPr>
      <w:r>
        <w:rPr>
          <w:rFonts w:ascii="Arial" w:hAnsi="Arial" w:cs="Arial"/>
          <w:sz w:val="20"/>
          <w:szCs w:val="20"/>
          <w:u w:val="single"/>
        </w:rPr>
        <w:t xml:space="preserve">Se cuenta </w:t>
      </w:r>
      <w:r w:rsidR="004B353E">
        <w:rPr>
          <w:rFonts w:ascii="Arial" w:hAnsi="Arial" w:cs="Arial"/>
          <w:sz w:val="20"/>
          <w:szCs w:val="20"/>
          <w:u w:val="single"/>
        </w:rPr>
        <w:t xml:space="preserve">también </w:t>
      </w:r>
      <w:r>
        <w:rPr>
          <w:rFonts w:ascii="Arial" w:hAnsi="Arial" w:cs="Arial"/>
          <w:sz w:val="20"/>
          <w:szCs w:val="20"/>
          <w:u w:val="single"/>
        </w:rPr>
        <w:t xml:space="preserve">con un Sistema de Gestión de la Calidad </w:t>
      </w:r>
      <w:r w:rsidR="004B353E">
        <w:rPr>
          <w:rFonts w:ascii="Arial" w:hAnsi="Arial" w:cs="Arial"/>
          <w:sz w:val="20"/>
          <w:szCs w:val="20"/>
          <w:u w:val="single"/>
        </w:rPr>
        <w:t xml:space="preserve">mismo </w:t>
      </w:r>
      <w:r w:rsidR="001B2628">
        <w:rPr>
          <w:rFonts w:ascii="Arial" w:hAnsi="Arial" w:cs="Arial"/>
          <w:sz w:val="20"/>
          <w:szCs w:val="20"/>
          <w:u w:val="single"/>
        </w:rPr>
        <w:t>que controla</w:t>
      </w:r>
      <w:r>
        <w:rPr>
          <w:rFonts w:ascii="Arial" w:hAnsi="Arial" w:cs="Arial"/>
          <w:sz w:val="20"/>
          <w:szCs w:val="20"/>
          <w:u w:val="single"/>
        </w:rPr>
        <w:t xml:space="preserve"> los procesos esenciales que opera el Instituto</w:t>
      </w:r>
      <w:r w:rsidR="004B353E">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81470B" w:rsidRDefault="0081470B"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2D19B5">
        <w:rPr>
          <w:rFonts w:ascii="Arial" w:hAnsi="Arial" w:cs="Arial"/>
          <w:sz w:val="20"/>
          <w:szCs w:val="20"/>
          <w:u w:val="single"/>
        </w:rPr>
        <w:t>9</w:t>
      </w:r>
      <w:r>
        <w:rPr>
          <w:rFonts w:ascii="Arial" w:hAnsi="Arial" w:cs="Arial"/>
          <w:sz w:val="20"/>
          <w:szCs w:val="20"/>
          <w:u w:val="single"/>
        </w:rPr>
        <w:t>.</w:t>
      </w:r>
      <w:r w:rsidRPr="003B15B7">
        <w:rPr>
          <w:rFonts w:ascii="Arial" w:hAnsi="Arial" w:cs="Arial"/>
          <w:sz w:val="20"/>
          <w:szCs w:val="20"/>
          <w:u w:val="single"/>
        </w:rPr>
        <w:t xml:space="preserve"> </w:t>
      </w:r>
    </w:p>
    <w:p w:rsidR="00786EDC" w:rsidRDefault="00786EDC" w:rsidP="00786EDC">
      <w:pPr>
        <w:jc w:val="both"/>
        <w:rPr>
          <w:rFonts w:ascii="Arial" w:hAnsi="Arial" w:cs="Arial"/>
          <w:sz w:val="20"/>
          <w:szCs w:val="20"/>
        </w:rPr>
      </w:pPr>
    </w:p>
    <w:p w:rsidR="00D93F0C" w:rsidRPr="003B15B7" w:rsidRDefault="00D93F0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BA6226">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EB" w:rsidRDefault="00BC22EB" w:rsidP="00EA5418">
      <w:r>
        <w:separator/>
      </w:r>
    </w:p>
  </w:endnote>
  <w:endnote w:type="continuationSeparator" w:id="0">
    <w:p w:rsidR="00BC22EB" w:rsidRDefault="00BC22EB"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3B522D77" wp14:editId="5AA70393">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043BD1"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D2E68BC" wp14:editId="2874DD7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2DB57"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8B4216">
      <w:rPr>
        <w:rFonts w:ascii="Arial" w:hAnsi="Arial" w:cs="Arial"/>
        <w:color w:val="808080" w:themeColor="background1" w:themeShade="80"/>
        <w:sz w:val="20"/>
        <w:szCs w:val="20"/>
      </w:rPr>
      <w:t xml:space="preserve"> </w:t>
    </w:r>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BA6226">
      <w:rPr>
        <w:rFonts w:ascii="Arial" w:hAnsi="Arial" w:cs="Arial"/>
        <w:noProof/>
        <w:color w:val="808080" w:themeColor="background1" w:themeShade="80"/>
        <w:sz w:val="20"/>
        <w:szCs w:val="20"/>
      </w:rPr>
      <w:t>12</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EB" w:rsidRDefault="00BC22EB" w:rsidP="00EA5418">
      <w:r>
        <w:separator/>
      </w:r>
    </w:p>
  </w:footnote>
  <w:footnote w:type="continuationSeparator" w:id="0">
    <w:p w:rsidR="00BC22EB" w:rsidRDefault="00BC22EB"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095168F" wp14:editId="628F4C0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1477A8"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2E63BD52" wp14:editId="4362CF67">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BD5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40BB6960" wp14:editId="70C6623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696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05B39A40" wp14:editId="563145DE">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60E704"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F9C"/>
    <w:rsid w:val="00011A26"/>
    <w:rsid w:val="000173A2"/>
    <w:rsid w:val="00031801"/>
    <w:rsid w:val="00040466"/>
    <w:rsid w:val="00047504"/>
    <w:rsid w:val="00051ECA"/>
    <w:rsid w:val="00053D9A"/>
    <w:rsid w:val="00056042"/>
    <w:rsid w:val="00062DBE"/>
    <w:rsid w:val="00065443"/>
    <w:rsid w:val="00075042"/>
    <w:rsid w:val="0008576C"/>
    <w:rsid w:val="0009205B"/>
    <w:rsid w:val="0009348A"/>
    <w:rsid w:val="000947CD"/>
    <w:rsid w:val="000958AC"/>
    <w:rsid w:val="000B3C7C"/>
    <w:rsid w:val="000C0BBB"/>
    <w:rsid w:val="000C4654"/>
    <w:rsid w:val="000C466D"/>
    <w:rsid w:val="000D5278"/>
    <w:rsid w:val="000E0998"/>
    <w:rsid w:val="000E268C"/>
    <w:rsid w:val="000F7B8B"/>
    <w:rsid w:val="0010245D"/>
    <w:rsid w:val="00116BF8"/>
    <w:rsid w:val="001179E1"/>
    <w:rsid w:val="00121C91"/>
    <w:rsid w:val="00124658"/>
    <w:rsid w:val="00124C63"/>
    <w:rsid w:val="00126634"/>
    <w:rsid w:val="00127AAB"/>
    <w:rsid w:val="0013011C"/>
    <w:rsid w:val="00137A25"/>
    <w:rsid w:val="001439FE"/>
    <w:rsid w:val="001646D9"/>
    <w:rsid w:val="001650C8"/>
    <w:rsid w:val="00175462"/>
    <w:rsid w:val="001853A4"/>
    <w:rsid w:val="00187F3D"/>
    <w:rsid w:val="001A07ED"/>
    <w:rsid w:val="001A254A"/>
    <w:rsid w:val="001A6959"/>
    <w:rsid w:val="001A7310"/>
    <w:rsid w:val="001B0D37"/>
    <w:rsid w:val="001B1B72"/>
    <w:rsid w:val="001B22A3"/>
    <w:rsid w:val="001B2628"/>
    <w:rsid w:val="001C202D"/>
    <w:rsid w:val="001D36FA"/>
    <w:rsid w:val="001E3B9D"/>
    <w:rsid w:val="001E7F9E"/>
    <w:rsid w:val="001F2B24"/>
    <w:rsid w:val="00205A47"/>
    <w:rsid w:val="00217EA0"/>
    <w:rsid w:val="0022083B"/>
    <w:rsid w:val="00230E0F"/>
    <w:rsid w:val="00232D48"/>
    <w:rsid w:val="0023342A"/>
    <w:rsid w:val="00241524"/>
    <w:rsid w:val="00251B0D"/>
    <w:rsid w:val="00255B45"/>
    <w:rsid w:val="0026144C"/>
    <w:rsid w:val="002654C4"/>
    <w:rsid w:val="00267F62"/>
    <w:rsid w:val="0027083D"/>
    <w:rsid w:val="00272A00"/>
    <w:rsid w:val="00281FEA"/>
    <w:rsid w:val="00284146"/>
    <w:rsid w:val="002A70B3"/>
    <w:rsid w:val="002B5BDD"/>
    <w:rsid w:val="002B67EE"/>
    <w:rsid w:val="002B6BA9"/>
    <w:rsid w:val="002C5573"/>
    <w:rsid w:val="002C56F1"/>
    <w:rsid w:val="002C7B6B"/>
    <w:rsid w:val="002D19B5"/>
    <w:rsid w:val="002E3600"/>
    <w:rsid w:val="002E7A4E"/>
    <w:rsid w:val="002F0183"/>
    <w:rsid w:val="002F2F9D"/>
    <w:rsid w:val="00301BA0"/>
    <w:rsid w:val="00302BA6"/>
    <w:rsid w:val="003051AF"/>
    <w:rsid w:val="00307635"/>
    <w:rsid w:val="00312800"/>
    <w:rsid w:val="003147CE"/>
    <w:rsid w:val="003153DE"/>
    <w:rsid w:val="0032547C"/>
    <w:rsid w:val="00330F45"/>
    <w:rsid w:val="00331802"/>
    <w:rsid w:val="00336BF2"/>
    <w:rsid w:val="003400E4"/>
    <w:rsid w:val="0034085E"/>
    <w:rsid w:val="00355787"/>
    <w:rsid w:val="00355821"/>
    <w:rsid w:val="0035612C"/>
    <w:rsid w:val="00357CC4"/>
    <w:rsid w:val="003610E0"/>
    <w:rsid w:val="003677A2"/>
    <w:rsid w:val="00370561"/>
    <w:rsid w:val="00372684"/>
    <w:rsid w:val="00372CE0"/>
    <w:rsid w:val="00372F40"/>
    <w:rsid w:val="003740F6"/>
    <w:rsid w:val="00380734"/>
    <w:rsid w:val="00387AD4"/>
    <w:rsid w:val="003A7898"/>
    <w:rsid w:val="003B2878"/>
    <w:rsid w:val="003D5DBF"/>
    <w:rsid w:val="003E0C64"/>
    <w:rsid w:val="003E7FD0"/>
    <w:rsid w:val="003F4349"/>
    <w:rsid w:val="004079F5"/>
    <w:rsid w:val="00410C0A"/>
    <w:rsid w:val="00414245"/>
    <w:rsid w:val="004154F0"/>
    <w:rsid w:val="004252AB"/>
    <w:rsid w:val="004277AF"/>
    <w:rsid w:val="0044253C"/>
    <w:rsid w:val="00444C3F"/>
    <w:rsid w:val="004671E4"/>
    <w:rsid w:val="0047223C"/>
    <w:rsid w:val="00477029"/>
    <w:rsid w:val="00481BB6"/>
    <w:rsid w:val="00486AE1"/>
    <w:rsid w:val="004915D1"/>
    <w:rsid w:val="00491F63"/>
    <w:rsid w:val="00497D8B"/>
    <w:rsid w:val="004A111F"/>
    <w:rsid w:val="004A4974"/>
    <w:rsid w:val="004A7152"/>
    <w:rsid w:val="004B01D6"/>
    <w:rsid w:val="004B353E"/>
    <w:rsid w:val="004D3C95"/>
    <w:rsid w:val="004D41B8"/>
    <w:rsid w:val="004D4E9E"/>
    <w:rsid w:val="004D7752"/>
    <w:rsid w:val="004E1F7A"/>
    <w:rsid w:val="004F29CC"/>
    <w:rsid w:val="00502D8E"/>
    <w:rsid w:val="00506351"/>
    <w:rsid w:val="0051061B"/>
    <w:rsid w:val="005117F4"/>
    <w:rsid w:val="00512C59"/>
    <w:rsid w:val="005131F1"/>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65A61"/>
    <w:rsid w:val="005706D9"/>
    <w:rsid w:val="00582405"/>
    <w:rsid w:val="00584060"/>
    <w:rsid w:val="00584484"/>
    <w:rsid w:val="005859FA"/>
    <w:rsid w:val="00593EE9"/>
    <w:rsid w:val="005A1A7B"/>
    <w:rsid w:val="005A4763"/>
    <w:rsid w:val="005B0619"/>
    <w:rsid w:val="005B4373"/>
    <w:rsid w:val="005B6522"/>
    <w:rsid w:val="005C11C0"/>
    <w:rsid w:val="005C4017"/>
    <w:rsid w:val="005F38CB"/>
    <w:rsid w:val="005F76C8"/>
    <w:rsid w:val="006008D3"/>
    <w:rsid w:val="00601DE3"/>
    <w:rsid w:val="006039A4"/>
    <w:rsid w:val="00603D1A"/>
    <w:rsid w:val="006048D2"/>
    <w:rsid w:val="00604D6D"/>
    <w:rsid w:val="00604DE5"/>
    <w:rsid w:val="006101D8"/>
    <w:rsid w:val="00611E39"/>
    <w:rsid w:val="006133D2"/>
    <w:rsid w:val="00620A84"/>
    <w:rsid w:val="006223EE"/>
    <w:rsid w:val="00624AF0"/>
    <w:rsid w:val="00633237"/>
    <w:rsid w:val="006359FF"/>
    <w:rsid w:val="00640E11"/>
    <w:rsid w:val="006551E0"/>
    <w:rsid w:val="00656AFE"/>
    <w:rsid w:val="00657950"/>
    <w:rsid w:val="00660A28"/>
    <w:rsid w:val="00661127"/>
    <w:rsid w:val="00661772"/>
    <w:rsid w:val="00662E1A"/>
    <w:rsid w:val="006638AC"/>
    <w:rsid w:val="00665222"/>
    <w:rsid w:val="006725E1"/>
    <w:rsid w:val="00680E78"/>
    <w:rsid w:val="00682609"/>
    <w:rsid w:val="006944F9"/>
    <w:rsid w:val="006A22F6"/>
    <w:rsid w:val="006B3871"/>
    <w:rsid w:val="006B729B"/>
    <w:rsid w:val="006C0640"/>
    <w:rsid w:val="006C1D3E"/>
    <w:rsid w:val="006D282D"/>
    <w:rsid w:val="006D350A"/>
    <w:rsid w:val="006D7978"/>
    <w:rsid w:val="006E09AB"/>
    <w:rsid w:val="006E54D7"/>
    <w:rsid w:val="006E6B8E"/>
    <w:rsid w:val="006E77DD"/>
    <w:rsid w:val="006F6105"/>
    <w:rsid w:val="007113E5"/>
    <w:rsid w:val="00721896"/>
    <w:rsid w:val="00723454"/>
    <w:rsid w:val="00735C8C"/>
    <w:rsid w:val="00750186"/>
    <w:rsid w:val="00775D20"/>
    <w:rsid w:val="0078139D"/>
    <w:rsid w:val="00786EDC"/>
    <w:rsid w:val="00794F06"/>
    <w:rsid w:val="007957C2"/>
    <w:rsid w:val="0079582C"/>
    <w:rsid w:val="007A37D4"/>
    <w:rsid w:val="007B11D4"/>
    <w:rsid w:val="007B1A84"/>
    <w:rsid w:val="007B395E"/>
    <w:rsid w:val="007B4655"/>
    <w:rsid w:val="007B71E0"/>
    <w:rsid w:val="007C040F"/>
    <w:rsid w:val="007C79D7"/>
    <w:rsid w:val="007D6E9A"/>
    <w:rsid w:val="007E7D94"/>
    <w:rsid w:val="007F06D5"/>
    <w:rsid w:val="007F0E35"/>
    <w:rsid w:val="00802A56"/>
    <w:rsid w:val="0080591B"/>
    <w:rsid w:val="0081470B"/>
    <w:rsid w:val="00816AF8"/>
    <w:rsid w:val="00816BF6"/>
    <w:rsid w:val="00817382"/>
    <w:rsid w:val="00820ADC"/>
    <w:rsid w:val="00820F91"/>
    <w:rsid w:val="00847758"/>
    <w:rsid w:val="00847A6D"/>
    <w:rsid w:val="00863436"/>
    <w:rsid w:val="00866B66"/>
    <w:rsid w:val="0087002C"/>
    <w:rsid w:val="0087007A"/>
    <w:rsid w:val="008A4546"/>
    <w:rsid w:val="008A546E"/>
    <w:rsid w:val="008A6E4D"/>
    <w:rsid w:val="008B0017"/>
    <w:rsid w:val="008B4216"/>
    <w:rsid w:val="008B705D"/>
    <w:rsid w:val="008C6168"/>
    <w:rsid w:val="008D2722"/>
    <w:rsid w:val="008D4272"/>
    <w:rsid w:val="008D768C"/>
    <w:rsid w:val="008E3652"/>
    <w:rsid w:val="00903F8B"/>
    <w:rsid w:val="00905023"/>
    <w:rsid w:val="00906646"/>
    <w:rsid w:val="00922416"/>
    <w:rsid w:val="009225B6"/>
    <w:rsid w:val="00926EB9"/>
    <w:rsid w:val="00933881"/>
    <w:rsid w:val="00944F17"/>
    <w:rsid w:val="0094744C"/>
    <w:rsid w:val="00947CEF"/>
    <w:rsid w:val="00951352"/>
    <w:rsid w:val="0096474B"/>
    <w:rsid w:val="00966947"/>
    <w:rsid w:val="00970B6A"/>
    <w:rsid w:val="00972FEB"/>
    <w:rsid w:val="0097585A"/>
    <w:rsid w:val="0099048E"/>
    <w:rsid w:val="009909AB"/>
    <w:rsid w:val="0099131C"/>
    <w:rsid w:val="009A40F6"/>
    <w:rsid w:val="009A4FBD"/>
    <w:rsid w:val="009B00DE"/>
    <w:rsid w:val="009C1CD1"/>
    <w:rsid w:val="009C3DD4"/>
    <w:rsid w:val="009E653D"/>
    <w:rsid w:val="00A05B12"/>
    <w:rsid w:val="00A0752F"/>
    <w:rsid w:val="00A1181C"/>
    <w:rsid w:val="00A14B74"/>
    <w:rsid w:val="00A1551F"/>
    <w:rsid w:val="00A34412"/>
    <w:rsid w:val="00A34915"/>
    <w:rsid w:val="00A5610E"/>
    <w:rsid w:val="00A612EA"/>
    <w:rsid w:val="00A6283B"/>
    <w:rsid w:val="00A74171"/>
    <w:rsid w:val="00A83EF6"/>
    <w:rsid w:val="00A911BD"/>
    <w:rsid w:val="00AA1059"/>
    <w:rsid w:val="00AA4C6C"/>
    <w:rsid w:val="00AA5AED"/>
    <w:rsid w:val="00AA5F58"/>
    <w:rsid w:val="00AB13B7"/>
    <w:rsid w:val="00AC0C97"/>
    <w:rsid w:val="00AD0E70"/>
    <w:rsid w:val="00AD1201"/>
    <w:rsid w:val="00AD1576"/>
    <w:rsid w:val="00AD41FC"/>
    <w:rsid w:val="00AD42C4"/>
    <w:rsid w:val="00AD4901"/>
    <w:rsid w:val="00AE0C4F"/>
    <w:rsid w:val="00AE5EA4"/>
    <w:rsid w:val="00AF383B"/>
    <w:rsid w:val="00B00835"/>
    <w:rsid w:val="00B05BA2"/>
    <w:rsid w:val="00B06832"/>
    <w:rsid w:val="00B06EB4"/>
    <w:rsid w:val="00B1248C"/>
    <w:rsid w:val="00B13B37"/>
    <w:rsid w:val="00B1689E"/>
    <w:rsid w:val="00B17423"/>
    <w:rsid w:val="00B26331"/>
    <w:rsid w:val="00B30D54"/>
    <w:rsid w:val="00B328E1"/>
    <w:rsid w:val="00B42A02"/>
    <w:rsid w:val="00B4605E"/>
    <w:rsid w:val="00B602FC"/>
    <w:rsid w:val="00B7083A"/>
    <w:rsid w:val="00B72E45"/>
    <w:rsid w:val="00B742D7"/>
    <w:rsid w:val="00B849EE"/>
    <w:rsid w:val="00B94CA9"/>
    <w:rsid w:val="00B96664"/>
    <w:rsid w:val="00BA5834"/>
    <w:rsid w:val="00BA6226"/>
    <w:rsid w:val="00BB6BB8"/>
    <w:rsid w:val="00BC0341"/>
    <w:rsid w:val="00BC11BA"/>
    <w:rsid w:val="00BC22EB"/>
    <w:rsid w:val="00BC5C12"/>
    <w:rsid w:val="00BC7E9F"/>
    <w:rsid w:val="00BD0E0C"/>
    <w:rsid w:val="00C137AC"/>
    <w:rsid w:val="00C22F80"/>
    <w:rsid w:val="00C26E6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541D4"/>
    <w:rsid w:val="00D63777"/>
    <w:rsid w:val="00D66966"/>
    <w:rsid w:val="00D72163"/>
    <w:rsid w:val="00D748D3"/>
    <w:rsid w:val="00D81F7C"/>
    <w:rsid w:val="00D920E8"/>
    <w:rsid w:val="00D93F0C"/>
    <w:rsid w:val="00DB2F7D"/>
    <w:rsid w:val="00DD230F"/>
    <w:rsid w:val="00DD3642"/>
    <w:rsid w:val="00DD5506"/>
    <w:rsid w:val="00DD6926"/>
    <w:rsid w:val="00DE762C"/>
    <w:rsid w:val="00DF04BC"/>
    <w:rsid w:val="00DF3AD2"/>
    <w:rsid w:val="00E0135F"/>
    <w:rsid w:val="00E059DE"/>
    <w:rsid w:val="00E13FEA"/>
    <w:rsid w:val="00E158C5"/>
    <w:rsid w:val="00E227E7"/>
    <w:rsid w:val="00E22CE9"/>
    <w:rsid w:val="00E32708"/>
    <w:rsid w:val="00E4264D"/>
    <w:rsid w:val="00E44539"/>
    <w:rsid w:val="00E464BF"/>
    <w:rsid w:val="00E479BE"/>
    <w:rsid w:val="00E62AAB"/>
    <w:rsid w:val="00E74945"/>
    <w:rsid w:val="00E757BB"/>
    <w:rsid w:val="00E9097D"/>
    <w:rsid w:val="00E928B1"/>
    <w:rsid w:val="00EA5418"/>
    <w:rsid w:val="00EC7D24"/>
    <w:rsid w:val="00ED036A"/>
    <w:rsid w:val="00ED16FA"/>
    <w:rsid w:val="00ED707B"/>
    <w:rsid w:val="00ED7A80"/>
    <w:rsid w:val="00EE4221"/>
    <w:rsid w:val="00EF4257"/>
    <w:rsid w:val="00EF4AF6"/>
    <w:rsid w:val="00F101E6"/>
    <w:rsid w:val="00F17883"/>
    <w:rsid w:val="00F41A59"/>
    <w:rsid w:val="00F837EE"/>
    <w:rsid w:val="00F96944"/>
    <w:rsid w:val="00F97E65"/>
    <w:rsid w:val="00FB77E4"/>
    <w:rsid w:val="00FC3675"/>
    <w:rsid w:val="00FE131B"/>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7F7E8-522F-492C-A50A-F2FA1362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022829382">
      <w:bodyDiv w:val="1"/>
      <w:marLeft w:val="0"/>
      <w:marRight w:val="0"/>
      <w:marTop w:val="0"/>
      <w:marBottom w:val="0"/>
      <w:divBdr>
        <w:top w:val="none" w:sz="0" w:space="0" w:color="auto"/>
        <w:left w:val="none" w:sz="0" w:space="0" w:color="auto"/>
        <w:bottom w:val="none" w:sz="0" w:space="0" w:color="auto"/>
        <w:right w:val="none" w:sz="0" w:space="0" w:color="auto"/>
      </w:divBdr>
      <w:divsChild>
        <w:div w:id="2083215722">
          <w:marLeft w:val="0"/>
          <w:marRight w:val="0"/>
          <w:marTop w:val="0"/>
          <w:marBottom w:val="0"/>
          <w:divBdr>
            <w:top w:val="none" w:sz="0" w:space="0" w:color="auto"/>
            <w:left w:val="none" w:sz="0" w:space="0" w:color="auto"/>
            <w:bottom w:val="none" w:sz="0" w:space="0" w:color="auto"/>
            <w:right w:val="none" w:sz="0" w:space="0" w:color="auto"/>
          </w:divBdr>
        </w:div>
        <w:div w:id="1574659063">
          <w:marLeft w:val="0"/>
          <w:marRight w:val="0"/>
          <w:marTop w:val="0"/>
          <w:marBottom w:val="0"/>
          <w:divBdr>
            <w:top w:val="none" w:sz="0" w:space="0" w:color="auto"/>
            <w:left w:val="none" w:sz="0" w:space="0" w:color="auto"/>
            <w:bottom w:val="none" w:sz="0" w:space="0" w:color="auto"/>
            <w:right w:val="none" w:sz="0" w:space="0" w:color="auto"/>
          </w:divBdr>
        </w:div>
        <w:div w:id="493377260">
          <w:marLeft w:val="0"/>
          <w:marRight w:val="0"/>
          <w:marTop w:val="0"/>
          <w:marBottom w:val="0"/>
          <w:divBdr>
            <w:top w:val="none" w:sz="0" w:space="0" w:color="auto"/>
            <w:left w:val="none" w:sz="0" w:space="0" w:color="auto"/>
            <w:bottom w:val="none" w:sz="0" w:space="0" w:color="auto"/>
            <w:right w:val="none" w:sz="0" w:space="0" w:color="auto"/>
          </w:divBdr>
        </w:div>
      </w:divsChild>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20E7-00F9-41F6-B210-022EEAA1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2557</Words>
  <Characters>14068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auxAdmon</cp:lastModifiedBy>
  <cp:revision>3</cp:revision>
  <cp:lastPrinted>2020-10-28T20:00:00Z</cp:lastPrinted>
  <dcterms:created xsi:type="dcterms:W3CDTF">2020-10-28T20:00:00Z</dcterms:created>
  <dcterms:modified xsi:type="dcterms:W3CDTF">2020-10-28T20:01:00Z</dcterms:modified>
</cp:coreProperties>
</file>